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jc w:val="both"/>
        <w:rPr>
          <w:rFonts w:ascii="黑体" w:hAnsi="黑体" w:eastAsia="黑体" w:cs="Times New Roman"/>
          <w:kern w:val="2"/>
          <w:sz w:val="21"/>
          <w:szCs w:val="22"/>
          <w:lang w:val="en-US"/>
        </w:rPr>
      </w:pPr>
      <w:r>
        <w:rPr>
          <w:rFonts w:ascii="黑体" w:hAnsi="黑体" w:eastAsia="黑体" w:cs="Times New Roman"/>
          <w:kern w:val="2"/>
          <w:sz w:val="21"/>
          <w:szCs w:val="22"/>
          <w:lang w:val="en-US"/>
        </w:rPr>
        <mc:AlternateContent>
          <mc:Choice Requires="wps">
            <w:drawing>
              <wp:anchor distT="0" distB="0" distL="114300" distR="114300" simplePos="0" relativeHeight="251661312" behindDoc="0" locked="0" layoutInCell="1" allowOverlap="1">
                <wp:simplePos x="0" y="0"/>
                <wp:positionH relativeFrom="column">
                  <wp:posOffset>2859405</wp:posOffset>
                </wp:positionH>
                <wp:positionV relativeFrom="topMargin">
                  <wp:posOffset>465455</wp:posOffset>
                </wp:positionV>
                <wp:extent cx="3696970" cy="792480"/>
                <wp:effectExtent l="0" t="0" r="0" b="0"/>
                <wp:wrapNone/>
                <wp:docPr id="1" name="Text Box 2"/>
                <wp:cNvGraphicFramePr/>
                <a:graphic xmlns:a="http://schemas.openxmlformats.org/drawingml/2006/main">
                  <a:graphicData uri="http://schemas.microsoft.com/office/word/2010/wordprocessingShape">
                    <wps:wsp>
                      <wps:cNvSpPr txBox="true">
                        <a:spLocks noChangeArrowheads="true"/>
                      </wps:cNvSpPr>
                      <wps:spPr bwMode="auto">
                        <a:xfrm>
                          <a:off x="0" y="0"/>
                          <a:ext cx="3696970" cy="792480"/>
                        </a:xfrm>
                        <a:prstGeom prst="rect">
                          <a:avLst/>
                        </a:prstGeom>
                        <a:noFill/>
                        <a:ln>
                          <a:noFill/>
                        </a:ln>
                      </wps:spPr>
                      <wps:txbx>
                        <w:txbxContent>
                          <w:p>
                            <w:pPr>
                              <w:pStyle w:val="56"/>
                              <w:shd w:val="clear"/>
                              <w:wordWrap w:val="0"/>
                              <w:ind w:right="471" w:firstLine="625" w:firstLineChars="50"/>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false" upright="true">
                        <a:spAutoFit/>
                      </wps:bodyPr>
                    </wps:wsp>
                  </a:graphicData>
                </a:graphic>
              </wp:anchor>
            </w:drawing>
          </mc:Choice>
          <mc:Fallback>
            <w:pict>
              <v:shape id="Text Box 2" o:spid="_x0000_s1026" o:spt="202" type="#_x0000_t202" style="position:absolute;left:0pt;margin-left:296.05pt;margin-top:36.65pt;height:62.4pt;width:291.1pt;mso-position-horizontal-relative:page;mso-position-vertical-relative:page;z-index:251661312;mso-width-relative:page;mso-height-relative:page;" filled="f" stroked="f" coordsize="21600,21600" o:gfxdata="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enX47tgAAAALAQAADwAAAAAAAAABACAAAAA4AAAA&#10;ZHJzL2Rvd25yZXYueG1sUEsBAhQAFAAAAAgAh07iQDatIZ3xAQAA0wMAAA4AAAAAAAAAAQAgAAAA&#10;PQEAAGRycy9lMm9Eb2MueG1sUEsFBgAAAAAGAAYAWQEAAKAFAAAAAA==&#10;">
                <v:fill on="f" focussize="0,0"/>
                <v:stroke on="f"/>
                <v:imagedata o:title=""/>
                <o:lock v:ext="edit" aspectratio="f"/>
                <v:textbox style="mso-fit-shape-to-text:t;">
                  <w:txbxContent>
                    <w:p>
                      <w:pPr>
                        <w:pStyle w:val="56"/>
                        <w:shd w:val="clear"/>
                        <w:wordWrap w:val="0"/>
                        <w:ind w:right="471" w:firstLine="625" w:firstLineChars="50"/>
                        <w:jc w:val="both"/>
                        <w:rPr>
                          <w:rFonts w:eastAsia="方正小标宋_GBK"/>
                          <w:sz w:val="84"/>
                          <w:szCs w:val="84"/>
                        </w:rPr>
                      </w:pPr>
                      <w:r>
                        <w:rPr>
                          <w:rFonts w:eastAsia="方正小标宋_GBK"/>
                          <w:szCs w:val="84"/>
                        </w:rPr>
                        <w:t>DB3205</w:t>
                      </w:r>
                    </w:p>
                  </w:txbxContent>
                </v:textbox>
              </v:shape>
            </w:pict>
          </mc:Fallback>
        </mc:AlternateContent>
      </w:r>
      <w:r>
        <w:rPr>
          <w:rFonts w:ascii="黑体" w:hAnsi="黑体" w:eastAsia="黑体" w:cs="Times New Roman"/>
          <w:kern w:val="2"/>
          <w:sz w:val="21"/>
          <w:szCs w:val="22"/>
          <w:lang w:val="en-US"/>
        </w:rPr>
        <w:t>ICS 35.240.01</w:t>
      </w:r>
    </w:p>
    <w:p>
      <w:pPr>
        <w:widowControl w:val="0"/>
        <w:jc w:val="both"/>
        <w:rPr>
          <w:rFonts w:ascii="黑体" w:hAnsi="黑体" w:eastAsia="黑体" w:cs="Times New Roman"/>
          <w:kern w:val="2"/>
          <w:sz w:val="21"/>
          <w:szCs w:val="22"/>
          <w:lang w:val="en-US"/>
        </w:rPr>
      </w:pPr>
      <w:r>
        <w:rPr>
          <w:rFonts w:hint="eastAsia" w:ascii="黑体" w:hAnsi="黑体" w:eastAsia="黑体" w:cs="Times New Roman"/>
          <w:kern w:val="2"/>
          <w:sz w:val="21"/>
          <w:szCs w:val="22"/>
          <w:lang w:val="en-US"/>
        </w:rPr>
        <w:t>CCS</w:t>
      </w:r>
      <w:r>
        <w:rPr>
          <w:rFonts w:ascii="黑体" w:hAnsi="黑体" w:eastAsia="黑体" w:cs="Times New Roman"/>
          <w:kern w:val="2"/>
          <w:sz w:val="21"/>
          <w:szCs w:val="22"/>
          <w:lang w:val="en-US"/>
        </w:rPr>
        <w:t xml:space="preserve"> </w:t>
      </w:r>
      <w:r>
        <w:rPr>
          <w:rFonts w:hint="eastAsia" w:ascii="黑体" w:hAnsi="黑体" w:eastAsia="黑体" w:cs="Times New Roman"/>
          <w:kern w:val="2"/>
          <w:sz w:val="21"/>
          <w:szCs w:val="22"/>
          <w:lang w:val="en-US"/>
        </w:rPr>
        <w:t>L</w:t>
      </w:r>
      <w:r>
        <w:rPr>
          <w:rFonts w:ascii="黑体" w:hAnsi="黑体" w:eastAsia="黑体" w:cs="Times New Roman"/>
          <w:kern w:val="2"/>
          <w:sz w:val="21"/>
          <w:szCs w:val="22"/>
          <w:lang w:val="en-US"/>
        </w:rPr>
        <w:t xml:space="preserve"> 70</w:t>
      </w:r>
    </w:p>
    <w:p>
      <w:pPr>
        <w:tabs>
          <w:tab w:val="left" w:pos="3192"/>
        </w:tabs>
        <w:rPr>
          <w:rFonts w:ascii="黑体" w:hAnsi="黑体" w:eastAsia="黑体"/>
          <w:color w:val="000000" w:themeColor="text1"/>
          <w:szCs w:val="22"/>
          <w14:textFill>
            <w14:solidFill>
              <w14:schemeClr w14:val="tx1"/>
            </w14:solidFill>
          </w14:textFill>
        </w:rPr>
      </w:pPr>
      <w:r>
        <w:rPr>
          <w:rFonts w:ascii="黑体" w:hAnsi="黑体" w:eastAsia="黑体"/>
          <w:color w:val="000000" w:themeColor="text1"/>
          <w:szCs w:val="22"/>
          <w14:textFill>
            <w14:solidFill>
              <w14:schemeClr w14:val="tx1"/>
            </w14:solidFill>
          </w14:textFill>
        </w:rPr>
        <w:tab/>
      </w:r>
    </w:p>
    <w:p>
      <w:pPr>
        <w:autoSpaceDE w:val="0"/>
        <w:autoSpaceDN w:val="0"/>
        <w:jc w:val="distribute"/>
        <w:rPr>
          <w:rFonts w:ascii="方正小标宋_GBK" w:eastAsia="方正小标宋_GBK" w:cs="Dotum,Bold"/>
          <w:bCs/>
          <w:snapToGrid w:val="0"/>
          <w:color w:val="000000" w:themeColor="text1"/>
          <w:sz w:val="52"/>
          <w:szCs w:val="52"/>
          <w14:textFill>
            <w14:solidFill>
              <w14:schemeClr w14:val="tx1"/>
            </w14:solidFill>
          </w14:textFill>
        </w:rPr>
      </w:pP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 xmlns:a="http://schemas.openxmlformats.org/drawingml/2006/main">
                  <a:graphicData uri="http://schemas.microsoft.com/office/word/2010/wordprocessingShape">
                    <wps:wsp>
                      <wps:cNvSpPr txBox="true">
                        <a:spLocks noChangeArrowheads="true"/>
                      </wps:cNvSpPr>
                      <wps:spPr bwMode="auto">
                        <a:xfrm>
                          <a:off x="0" y="0"/>
                          <a:ext cx="6120130" cy="615950"/>
                        </a:xfrm>
                        <a:prstGeom prst="rect">
                          <a:avLst/>
                        </a:prstGeom>
                        <a:noFill/>
                        <a:ln w="0">
                          <a:noFill/>
                          <a:miter lim="800000"/>
                        </a:ln>
                      </wps:spPr>
                      <wps:txbx>
                        <w:txbxContent>
                          <w:p>
                            <w:pPr>
                              <w:jc w:val="distribute"/>
                            </w:pPr>
                            <w:r>
                              <w:rPr>
                                <w:rFonts w:hint="eastAsia" w:ascii="方正小标宋_GBK" w:hAnsi="宋体" w:eastAsia="方正小标宋_GBK" w:cs="SimSun,Bold"/>
                                <w:bCs/>
                                <w:snapToGrid w:val="0"/>
                                <w:kern w:val="0"/>
                                <w:sz w:val="52"/>
                                <w:szCs w:val="52"/>
                              </w:rPr>
                              <w:t>苏州市地方标准</w:t>
                            </w:r>
                          </w:p>
                        </w:txbxContent>
                      </wps:txbx>
                      <wps:bodyPr rot="0" vert="horz" wrap="square" lIns="91440" tIns="45720" rIns="91440" bIns="45720" anchor="t" anchorCtr="false" upright="true">
                        <a:noAutofit/>
                      </wps:bodyPr>
                    </wps:wsp>
                  </a:graphicData>
                </a:graphic>
              </wp:anchor>
            </w:drawing>
          </mc:Choice>
          <mc:Fallback>
            <w:pict>
              <v:shape id="Text Box 18" o:spid="_x0000_s1026" o:spt="202" type="#_x0000_t202" style="position:absolute;left:0pt;margin-left:77.25pt;margin-top:93pt;height:48.5pt;width:481.9pt;mso-position-horizontal-relative:page;mso-position-vertical-relative:page;z-index:251662336;mso-width-relative:page;mso-height-relative:page;" filled="f" stroked="f" coordsize="21600,21600" o:gfxdata="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p6icQ9gAAAAKAQAA&#10;DwAAAAAAAAABACAAAAA4AAAAZHJzL2Rvd25yZXYueG1sUEsBAhQAFAAAAAgAh07iQGuVgo4DAgAA&#10;8QMAAA4AAAAAAAAAAQAgAAAAPQEAAGRycy9lMm9Eb2MueG1sUEsFBgAAAAAGAAYAWQEAALIFAAAA&#10;AA==&#10;">
                <v:fill on="f" focussize="0,0"/>
                <v:stroke on="f" weight="0pt" miterlimit="8" joinstyle="miter"/>
                <v:imagedata o:title=""/>
                <o:lock v:ext="edit" aspectratio="f"/>
                <v:textbox>
                  <w:txbxContent>
                    <w:p>
                      <w:pPr>
                        <w:jc w:val="distribute"/>
                      </w:pPr>
                      <w:r>
                        <w:rPr>
                          <w:rFonts w:hint="eastAsia" w:ascii="方正小标宋_GBK" w:hAnsi="宋体" w:eastAsia="方正小标宋_GBK" w:cs="SimSun,Bold"/>
                          <w:bCs/>
                          <w:snapToGrid w:val="0"/>
                          <w:kern w:val="0"/>
                          <w:sz w:val="52"/>
                          <w:szCs w:val="52"/>
                        </w:rPr>
                        <w:t>苏州市地方标准</w:t>
                      </w:r>
                    </w:p>
                  </w:txbxContent>
                </v:textbox>
              </v:shape>
            </w:pict>
          </mc:Fallback>
        </mc:AlternateContent>
      </w:r>
    </w:p>
    <w:p>
      <w:pPr>
        <w:spacing w:line="510" w:lineRule="exact"/>
        <w:rPr>
          <w:rFonts w:ascii="黑体" w:hAnsi="黑体" w:eastAsia="黑体"/>
          <w:color w:val="000000" w:themeColor="text1"/>
          <w:sz w:val="28"/>
          <w:szCs w:val="28"/>
          <w14:textFill>
            <w14:solidFill>
              <w14:schemeClr w14:val="tx1"/>
            </w14:solidFill>
          </w14:textFill>
        </w:rPr>
      </w:pPr>
    </w:p>
    <w:p>
      <w:pPr>
        <w:autoSpaceDE w:val="0"/>
        <w:autoSpaceDN w:val="0"/>
        <w:spacing w:line="3686" w:lineRule="exact"/>
        <w:jc w:val="center"/>
        <w:rPr>
          <w:rFonts w:ascii="黑体" w:hAnsi="黑体" w:eastAsia="黑体"/>
          <w:color w:val="000000" w:themeColor="text1"/>
          <w:szCs w:val="22"/>
          <w14:textFill>
            <w14:solidFill>
              <w14:schemeClr w14:val="tx1"/>
            </w14:solidFill>
          </w14:textFill>
        </w:rPr>
      </w:pPr>
      <w:r>
        <w:rPr>
          <w:rFonts w:ascii="黑体" w:hAnsi="黑体" w:eastAsia="黑体"/>
        </w:rPr>
        <mc:AlternateContent>
          <mc:Choice Requires="wps">
            <w:drawing>
              <wp:anchor distT="0" distB="0" distL="114300" distR="114300" simplePos="0" relativeHeight="251663360" behindDoc="0" locked="0" layoutInCell="1" allowOverlap="1">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 xmlns:a="http://schemas.openxmlformats.org/drawingml/2006/main">
                  <a:graphicData uri="http://schemas.microsoft.com/office/word/2010/wordprocessingShape">
                    <wps:wsp>
                      <wps:cNvSpPr txBox="true">
                        <a:spLocks noChangeArrowheads="true"/>
                      </wps:cNvSpPr>
                      <wps:spPr bwMode="auto">
                        <a:xfrm>
                          <a:off x="0" y="0"/>
                          <a:ext cx="1927225" cy="304800"/>
                        </a:xfrm>
                        <a:prstGeom prst="rect">
                          <a:avLst/>
                        </a:prstGeom>
                        <a:noFill/>
                        <a:ln w="0">
                          <a:noFill/>
                          <a:miter lim="800000"/>
                        </a:ln>
                      </wps:spPr>
                      <wps:txb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wps:txbx>
                      <wps:bodyPr rot="0" vert="horz" wrap="square" lIns="91440" tIns="45720" rIns="91440" bIns="45720" anchor="t" anchorCtr="false" upright="true">
                        <a:noAutofit/>
                      </wps:bodyPr>
                    </wps:wsp>
                  </a:graphicData>
                </a:graphic>
              </wp:anchor>
            </w:drawing>
          </mc:Choice>
          <mc:Fallback>
            <w:pict>
              <v:shape id="Text Box 19" o:spid="_x0000_s1026" o:spt="202" type="#_x0000_t202" style="position:absolute;left:0pt;margin-left:417.9pt;margin-top:176.25pt;height:24pt;width:151.75pt;mso-position-horizontal-relative:page;mso-position-vertical-relative:page;z-index:251663360;mso-width-relative:page;mso-height-relative:page;" filled="f" stroked="f" coordsize="21600,21600" o:gfxdata="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qvnXftsAAAAL&#10;AQAADwAAAAAAAAABACAAAAA4AAAAZHJzL2Rvd25yZXYueG1sUEsBAhQAFAAAAAgAh07iQLFbPycD&#10;AgAA8QMAAA4AAAAAAAAAAQAgAAAAQAEAAGRycy9lMm9Eb2MueG1sUEsFBgAAAAAGAAYAWQEAALUF&#10;AAAAAA==&#10;">
                <v:fill on="f" focussize="0,0"/>
                <v:stroke on="f" weight="0pt" miterlimit="8" joinstyle="miter"/>
                <v:imagedata o:title=""/>
                <o:lock v:ext="edit" aspectratio="f"/>
                <v:textbo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v:textbox>
              </v:shape>
            </w:pict>
          </mc:Fallback>
        </mc:AlternateContent>
      </w:r>
      <w:r>
        <w:rPr>
          <w:rFonts w:ascii="黑体" w:hAnsi="黑体" w:eastAsia="黑体"/>
          <w:color w:val="000000" w:themeColor="text1"/>
          <w:szCs w:val="22"/>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page">
                  <wp:posOffset>900430</wp:posOffset>
                </wp:positionH>
                <wp:positionV relativeFrom="page">
                  <wp:posOffset>2708910</wp:posOffset>
                </wp:positionV>
                <wp:extent cx="6115050" cy="0"/>
                <wp:effectExtent l="0" t="0" r="0" b="0"/>
                <wp:wrapNone/>
                <wp:docPr id="4" name="自选图形 13"/>
                <wp:cNvGraphicFramePr/>
                <a:graphic xmlns:a="http://schemas.openxmlformats.org/drawingml/2006/main">
                  <a:graphicData uri="http://schemas.microsoft.com/office/word/2010/wordprocessingShape">
                    <wps:wsp>
                      <wps:cNvCnPr/>
                      <wps:spPr>
                        <a:xfrm>
                          <a:off x="0" y="0"/>
                          <a:ext cx="6115050" cy="0"/>
                        </a:xfrm>
                        <a:prstGeom prst="straightConnector1">
                          <a:avLst/>
                        </a:prstGeom>
                        <a:ln w="12700" cap="flat" cmpd="sng">
                          <a:solidFill>
                            <a:srgbClr val="000000"/>
                          </a:solidFill>
                          <a:prstDash val="solid"/>
                          <a:headEnd type="none" w="med" len="med"/>
                          <a:tailEnd type="none" w="med" len="med"/>
                        </a:ln>
                        <a:effectLst/>
                      </wps:spPr>
                      <wps:bodyPr/>
                    </wps:wsp>
                  </a:graphicData>
                </a:graphic>
              </wp:anchor>
            </w:drawing>
          </mc:Choice>
          <mc:Fallback>
            <w:pict>
              <v:shape id="自选图形 13" o:spid="_x0000_s1026" o:spt="32" type="#_x0000_t32" style="position:absolute;left:0pt;margin-left:70.9pt;margin-top:213.3pt;height:0pt;width:481.5pt;mso-position-horizontal-relative:page;mso-position-vertical-relative:page;z-index:251659264;mso-width-relative:page;mso-height-relative:page;" filled="f" stroked="t" coordsize="21600,21600" o:gfxdata="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j8AIhdUAAAAMAQAADwAAAAAAAAABACAAAAA4AAAAZHJzL2Rvd25yZXYueG1sUEsBAhQA&#10;FAAAAAgAh07iQAGCE3LfAQAApQMAAA4AAAAAAAAAAQAgAAAAOgEAAGRycy9lMm9Eb2MueG1sUEsF&#10;BgAAAAAGAAYAWQEAAIsFAAAAAA==&#10;">
                <v:fill on="f" focussize="0,0"/>
                <v:stroke weight="1pt" color="#000000" joinstyle="round"/>
                <v:imagedata o:title=""/>
                <o:lock v:ext="edit" aspectratio="f"/>
              </v:shape>
            </w:pict>
          </mc:Fallback>
        </mc:AlternateContent>
      </w:r>
      <w:r>
        <w:rPr>
          <w:rFonts w:ascii="黑体" w:hAnsi="黑体" w:eastAsia="黑体"/>
          <w:color w:val="000000" w:themeColor="text1"/>
          <w:szCs w:val="22"/>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page">
                  <wp:posOffset>981075</wp:posOffset>
                </wp:positionH>
                <wp:positionV relativeFrom="page">
                  <wp:posOffset>4140835</wp:posOffset>
                </wp:positionV>
                <wp:extent cx="5924550" cy="3248025"/>
                <wp:effectExtent l="4445" t="4445" r="14605" b="8890"/>
                <wp:wrapNone/>
                <wp:docPr id="5" name="文本框 17"/>
                <wp:cNvGraphicFramePr/>
                <a:graphic xmlns:a="http://schemas.openxmlformats.org/drawingml/2006/main">
                  <a:graphicData uri="http://schemas.microsoft.com/office/word/2010/wordprocessingShape">
                    <wps:wsp>
                      <wps:cNvSpPr txBox="true"/>
                      <wps:spPr>
                        <a:xfrm>
                          <a:off x="0" y="0"/>
                          <a:ext cx="5924550" cy="3248025"/>
                        </a:xfrm>
                        <a:prstGeom prst="rect">
                          <a:avLst/>
                        </a:prstGeom>
                        <a:solidFill>
                          <a:srgbClr val="FFFFFF"/>
                        </a:solidFill>
                        <a:ln w="0" cap="flat" cmpd="sng">
                          <a:solidFill>
                            <a:srgbClr val="FFFFFF"/>
                          </a:solidFill>
                          <a:prstDash val="solid"/>
                          <a:miter/>
                          <a:headEnd type="none" w="med" len="med"/>
                          <a:tailEnd type="none" w="med" len="med"/>
                        </a:ln>
                        <a:effectLst/>
                      </wps:spPr>
                      <wps:txbx>
                        <w:txbxContent>
                          <w:p>
                            <w:pPr>
                              <w:jc w:val="center"/>
                              <w:rPr>
                                <w:rFonts w:ascii="黑体" w:hAnsi="宋体" w:eastAsia="黑体"/>
                                <w:sz w:val="52"/>
                                <w:szCs w:val="52"/>
                              </w:rPr>
                            </w:pPr>
                            <w:r>
                              <w:rPr>
                                <w:rFonts w:hint="eastAsia" w:ascii="黑体" w:hAnsi="宋体" w:eastAsia="黑体"/>
                                <w:sz w:val="52"/>
                                <w:szCs w:val="52"/>
                              </w:rPr>
                              <w:t xml:space="preserve">数字政府 </w:t>
                            </w:r>
                            <w:r>
                              <w:rPr>
                                <w:rFonts w:hint="eastAsia" w:ascii="黑体" w:hAnsi="宋体" w:eastAsia="黑体"/>
                                <w:sz w:val="52"/>
                                <w:szCs w:val="52"/>
                                <w:lang w:val="en-US" w:eastAsia="zh-CN"/>
                              </w:rPr>
                              <w:t xml:space="preserve"> </w:t>
                            </w:r>
                            <w:r>
                              <w:rPr>
                                <w:rFonts w:hint="eastAsia" w:ascii="黑体" w:hAnsi="宋体" w:eastAsia="黑体"/>
                                <w:sz w:val="52"/>
                                <w:szCs w:val="52"/>
                              </w:rPr>
                              <w:t>市场监管数据质量监测规范</w:t>
                            </w:r>
                          </w:p>
                          <w:p>
                            <w:pPr>
                              <w:jc w:val="center"/>
                              <w:rPr>
                                <w:rFonts w:ascii="黑体" w:hAnsi="黑体" w:eastAsia="黑体" w:cstheme="minorBidi"/>
                                <w:sz w:val="28"/>
                              </w:rPr>
                            </w:pPr>
                            <w:r>
                              <w:rPr>
                                <w:rFonts w:hint="eastAsia" w:ascii="黑体" w:hAnsi="黑体" w:eastAsia="黑体" w:cstheme="minorBidi"/>
                                <w:sz w:val="28"/>
                              </w:rPr>
                              <w:t>Digital government</w:t>
                            </w:r>
                            <w:r>
                              <w:rPr>
                                <w:rFonts w:ascii="黑体" w:hAnsi="黑体" w:eastAsia="黑体"/>
                              </w:rPr>
                              <w:t>—</w:t>
                            </w:r>
                            <w:r>
                              <w:rPr>
                                <w:rFonts w:hint="eastAsia" w:ascii="黑体" w:hAnsi="黑体" w:eastAsia="黑体" w:cstheme="minorBidi"/>
                                <w:sz w:val="28"/>
                              </w:rPr>
                              <w:t>Specification for data quality monitoring of market supervision</w:t>
                            </w:r>
                          </w:p>
                          <w:p>
                            <w:pPr>
                              <w:jc w:val="center"/>
                              <w:rPr>
                                <w:rFonts w:ascii="宋体" w:hAnsi="宋体" w:cs="宋体"/>
                                <w:szCs w:val="22"/>
                              </w:rPr>
                            </w:pPr>
                            <w:r>
                              <w:rPr>
                                <w:rFonts w:hint="eastAsia" w:ascii="宋体" w:hAnsi="宋体" w:cs="宋体"/>
                                <w:szCs w:val="22"/>
                              </w:rPr>
                              <w:t>（</w:t>
                            </w:r>
                            <w:r>
                              <w:rPr>
                                <w:rFonts w:hint="eastAsia" w:ascii="宋体" w:hAnsi="宋体" w:eastAsia="宋体" w:cs="宋体"/>
                                <w:szCs w:val="22"/>
                                <w:lang w:val="en-US" w:eastAsia="zh-CN"/>
                              </w:rPr>
                              <w:t>报批</w:t>
                            </w:r>
                            <w:r>
                              <w:rPr>
                                <w:rFonts w:hint="eastAsia" w:ascii="宋体" w:hAnsi="宋体" w:cs="宋体"/>
                                <w:szCs w:val="22"/>
                              </w:rPr>
                              <w:t>稿）</w:t>
                            </w:r>
                          </w:p>
                        </w:txbxContent>
                      </wps:txbx>
                      <wps:bodyPr upright="true"/>
                    </wps:wsp>
                  </a:graphicData>
                </a:graphic>
              </wp:anchor>
            </w:drawing>
          </mc:Choice>
          <mc:Fallback>
            <w:pict>
              <v:shape id="文本框 17" o:spid="_x0000_s1026" o:spt="202" type="#_x0000_t202" style="position:absolute;left:0pt;margin-left:77.25pt;margin-top:326.05pt;height:255.75pt;width:466.5pt;mso-position-horizontal-relative:page;mso-position-vertical-relative:page;z-index:251660288;mso-width-relative:page;mso-height-relative:page;" fillcolor="#FFFFFF" filled="t" stroked="t" coordsize="21600,21600" o:gfxdata="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dY/rcdoAAAANAQAADwAAAAAAAAABACAAAAA4&#10;AAAAZHJzL2Rvd25yZXYueG1sUEsBAhQAFAAAAAgAh07iQO1BthfyAQAA+wMAAA4AAAAAAAAAAQAg&#10;AAAAPwEAAGRycy9lMm9Eb2MueG1sUEsFBgAAAAAGAAYAWQEAAKMFAAAAAA==&#10;">
                <v:fill on="t" focussize="0,0"/>
                <v:stroke weight="0pt" color="#FFFFFF" joinstyle="miter"/>
                <v:imagedata o:title=""/>
                <o:lock v:ext="edit" aspectratio="f"/>
                <v:textbox>
                  <w:txbxContent>
                    <w:p>
                      <w:pPr>
                        <w:jc w:val="center"/>
                        <w:rPr>
                          <w:rFonts w:ascii="黑体" w:hAnsi="宋体" w:eastAsia="黑体"/>
                          <w:sz w:val="52"/>
                          <w:szCs w:val="52"/>
                        </w:rPr>
                      </w:pPr>
                      <w:r>
                        <w:rPr>
                          <w:rFonts w:hint="eastAsia" w:ascii="黑体" w:hAnsi="宋体" w:eastAsia="黑体"/>
                          <w:sz w:val="52"/>
                          <w:szCs w:val="52"/>
                        </w:rPr>
                        <w:t xml:space="preserve">数字政府 </w:t>
                      </w:r>
                      <w:r>
                        <w:rPr>
                          <w:rFonts w:hint="eastAsia" w:ascii="黑体" w:hAnsi="宋体" w:eastAsia="黑体"/>
                          <w:sz w:val="52"/>
                          <w:szCs w:val="52"/>
                          <w:lang w:val="en-US" w:eastAsia="zh-CN"/>
                        </w:rPr>
                        <w:t xml:space="preserve"> </w:t>
                      </w:r>
                      <w:r>
                        <w:rPr>
                          <w:rFonts w:hint="eastAsia" w:ascii="黑体" w:hAnsi="宋体" w:eastAsia="黑体"/>
                          <w:sz w:val="52"/>
                          <w:szCs w:val="52"/>
                        </w:rPr>
                        <w:t>市场监管数据质量监测规范</w:t>
                      </w:r>
                    </w:p>
                    <w:p>
                      <w:pPr>
                        <w:jc w:val="center"/>
                        <w:rPr>
                          <w:rFonts w:ascii="黑体" w:hAnsi="黑体" w:eastAsia="黑体" w:cstheme="minorBidi"/>
                          <w:sz w:val="28"/>
                        </w:rPr>
                      </w:pPr>
                      <w:r>
                        <w:rPr>
                          <w:rFonts w:hint="eastAsia" w:ascii="黑体" w:hAnsi="黑体" w:eastAsia="黑体" w:cstheme="minorBidi"/>
                          <w:sz w:val="28"/>
                        </w:rPr>
                        <w:t>Digital government</w:t>
                      </w:r>
                      <w:r>
                        <w:rPr>
                          <w:rFonts w:ascii="黑体" w:hAnsi="黑体" w:eastAsia="黑体"/>
                        </w:rPr>
                        <w:t>—</w:t>
                      </w:r>
                      <w:r>
                        <w:rPr>
                          <w:rFonts w:hint="eastAsia" w:ascii="黑体" w:hAnsi="黑体" w:eastAsia="黑体" w:cstheme="minorBidi"/>
                          <w:sz w:val="28"/>
                        </w:rPr>
                        <w:t>Specification for data quality monitoring of market supervision</w:t>
                      </w:r>
                    </w:p>
                    <w:p>
                      <w:pPr>
                        <w:jc w:val="center"/>
                        <w:rPr>
                          <w:rFonts w:ascii="宋体" w:hAnsi="宋体" w:cs="宋体"/>
                          <w:szCs w:val="22"/>
                        </w:rPr>
                      </w:pPr>
                      <w:r>
                        <w:rPr>
                          <w:rFonts w:hint="eastAsia" w:ascii="宋体" w:hAnsi="宋体" w:cs="宋体"/>
                          <w:szCs w:val="22"/>
                        </w:rPr>
                        <w:t>（</w:t>
                      </w:r>
                      <w:r>
                        <w:rPr>
                          <w:rFonts w:hint="eastAsia" w:ascii="宋体" w:hAnsi="宋体" w:eastAsia="宋体" w:cs="宋体"/>
                          <w:szCs w:val="22"/>
                          <w:lang w:val="en-US" w:eastAsia="zh-CN"/>
                        </w:rPr>
                        <w:t>报批</w:t>
                      </w:r>
                      <w:r>
                        <w:rPr>
                          <w:rFonts w:hint="eastAsia" w:ascii="宋体" w:hAnsi="宋体" w:cs="宋体"/>
                          <w:szCs w:val="22"/>
                        </w:rPr>
                        <w:t>稿）</w:t>
                      </w:r>
                    </w:p>
                  </w:txbxContent>
                </v:textbox>
              </v:shape>
            </w:pict>
          </mc:Fallback>
        </mc:AlternateContent>
      </w: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rPr>
          <w:rFonts w:ascii="黑体" w:hAnsi="黑体" w:eastAsia="黑体"/>
          <w:color w:val="000000" w:themeColor="text1"/>
          <w:szCs w:val="22"/>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textAlignment w:val="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202</w:t>
      </w:r>
      <w:r>
        <w:rPr>
          <w:rFonts w:ascii="黑体" w:hAnsi="黑体" w:eastAsia="黑体"/>
          <w:color w:val="000000" w:themeColor="text1"/>
          <w:sz w:val="28"/>
          <w:szCs w:val="28"/>
          <w14:textFill>
            <w14:solidFill>
              <w14:schemeClr w14:val="tx1"/>
            </w14:solidFill>
          </w14:textFill>
        </w:rPr>
        <w:t>4</w:t>
      </w:r>
      <w:r>
        <w:rPr>
          <w:rFonts w:hint="eastAsia" w:ascii="黑体" w:hAnsi="黑体" w:eastAsia="黑体"/>
          <w:color w:val="000000" w:themeColor="text1"/>
          <w:sz w:val="28"/>
          <w:szCs w:val="28"/>
          <w14:textFill>
            <w14:solidFill>
              <w14:schemeClr w14:val="tx1"/>
            </w14:solidFill>
          </w14:textFill>
        </w:rPr>
        <w:t>-</w:t>
      </w:r>
      <w:r>
        <w:rPr>
          <w:rFonts w:ascii="黑体" w:hAnsi="黑体" w:eastAsia="黑体"/>
          <w:color w:val="000000" w:themeColor="text1"/>
          <w:sz w:val="28"/>
          <w:szCs w:val="28"/>
          <w14:textFill>
            <w14:solidFill>
              <w14:schemeClr w14:val="tx1"/>
            </w14:solidFill>
          </w14:textFill>
        </w:rPr>
        <w:t>XX</w:t>
      </w:r>
      <w:r>
        <w:rPr>
          <w:rFonts w:hint="eastAsia" w:ascii="黑体" w:hAnsi="黑体" w:eastAsia="黑体"/>
          <w:color w:val="000000" w:themeColor="text1"/>
          <w:sz w:val="28"/>
          <w:szCs w:val="28"/>
          <w14:textFill>
            <w14:solidFill>
              <w14:schemeClr w14:val="tx1"/>
            </w14:solidFill>
          </w14:textFill>
        </w:rPr>
        <w:t>-XX发布                                       202</w:t>
      </w:r>
      <w:r>
        <w:rPr>
          <w:rFonts w:ascii="黑体" w:hAnsi="黑体" w:eastAsia="黑体"/>
          <w:color w:val="000000" w:themeColor="text1"/>
          <w:sz w:val="28"/>
          <w:szCs w:val="28"/>
          <w14:textFill>
            <w14:solidFill>
              <w14:schemeClr w14:val="tx1"/>
            </w14:solidFill>
          </w14:textFill>
        </w:rPr>
        <w:t>4</w:t>
      </w:r>
      <w:r>
        <w:rPr>
          <w:rFonts w:hint="eastAsia" w:ascii="黑体" w:hAnsi="黑体" w:eastAsia="黑体"/>
          <w:color w:val="000000" w:themeColor="text1"/>
          <w:sz w:val="28"/>
          <w:szCs w:val="28"/>
          <w14:textFill>
            <w14:solidFill>
              <w14:schemeClr w14:val="tx1"/>
            </w14:solidFill>
          </w14:textFill>
        </w:rPr>
        <w:t>-</w:t>
      </w:r>
      <w:r>
        <w:rPr>
          <w:rFonts w:ascii="黑体" w:hAnsi="黑体" w:eastAsia="黑体"/>
          <w:color w:val="000000" w:themeColor="text1"/>
          <w:sz w:val="28"/>
          <w:szCs w:val="28"/>
          <w14:textFill>
            <w14:solidFill>
              <w14:schemeClr w14:val="tx1"/>
            </w14:solidFill>
          </w14:textFill>
        </w:rPr>
        <w:t>XX</w:t>
      </w:r>
      <w:r>
        <w:rPr>
          <w:rFonts w:hint="eastAsia" w:ascii="黑体" w:hAnsi="黑体" w:eastAsia="黑体"/>
          <w:color w:val="000000" w:themeColor="text1"/>
          <w:sz w:val="28"/>
          <w:szCs w:val="28"/>
          <w14:textFill>
            <w14:solidFill>
              <w14:schemeClr w14:val="tx1"/>
            </w14:solidFill>
          </w14:textFill>
        </w:rPr>
        <w:t>-XX实施</w:t>
      </w:r>
      <w:r>
        <w:rPr>
          <w:rFonts w:hint="default" w:ascii="黑体" w:hAnsi="黑体" w:eastAsia="黑体"/>
          <w:sz w:val="28"/>
          <w:szCs w:val="28"/>
          <w:lang w:val="en-US"/>
        </w:rPr>
        <mc:AlternateContent>
          <mc:Choice Requires="wps">
            <w:drawing>
              <wp:anchor distT="0" distB="0" distL="114300" distR="114300" simplePos="0" relativeHeight="251664384" behindDoc="0" locked="0" layoutInCell="1" allowOverlap="1">
                <wp:simplePos x="0" y="0"/>
                <wp:positionH relativeFrom="margin">
                  <wp:posOffset>-14605</wp:posOffset>
                </wp:positionH>
                <wp:positionV relativeFrom="topMargin">
                  <wp:posOffset>9133205</wp:posOffset>
                </wp:positionV>
                <wp:extent cx="6115050" cy="0"/>
                <wp:effectExtent l="0" t="6350" r="0" b="6350"/>
                <wp:wrapNone/>
                <wp:docPr id="8" name="AutoShape 13"/>
                <wp:cNvGraphicFramePr/>
                <a:graphic xmlns:a="http://schemas.openxmlformats.org/drawingml/2006/main">
                  <a:graphicData uri="http://schemas.microsoft.com/office/word/2010/wordprocessingShape">
                    <wps:wsp>
                      <wps:cNvCnPr>
                        <a:cxnSpLocks noChangeShapeType="true"/>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69.75pt;margin-top:719.15pt;height:0pt;width:481.5pt;mso-position-horizontal-relative:page;mso-position-vertical-relative:page;z-index:251664384;mso-width-relative:page;mso-height-relative:page;" filled="f" stroked="t" coordsize="21600,21600" o:gfxdata="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WAAAAZHJzL1BLAQIUABQAAAAIAIdO4kCvMgXH1gAAAAwBAAAPAAAAAAAAAAEAIAAAADgA&#10;AABkcnMvZG93bnJldi54bWxQSwECFAAUAAAACACHTuJAbdKPlLwBAABpAwAADgAAAAAAAAABACAA&#10;AAA7AQAAZHJzL2Uyb0RvYy54bWxQSwUGAAAAAAYABgBZAQAAaQUAAAAA&#10;">
                <v:fill on="f" focussize="0,0"/>
                <v:stroke weight="1pt" color="#000000" joinstyle="round"/>
                <v:imagedata o:title=""/>
                <o:lock v:ext="edit" aspectratio="f"/>
              </v:shape>
            </w:pict>
          </mc:Fallback>
        </mc:AlternateContent>
      </w:r>
    </w:p>
    <w:p>
      <w:pPr>
        <w:spacing w:line="1247" w:lineRule="exact"/>
        <w:jc w:val="center"/>
        <w:rPr>
          <w:rFonts w:ascii="黑体" w:hAnsi="黑体" w:eastAsia="黑体"/>
          <w:color w:val="000000" w:themeColor="text1"/>
          <w:sz w:val="28"/>
          <w:szCs w:val="28"/>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 xml:space="preserve">苏州市市场监督管理局  </w:t>
      </w:r>
      <w:r>
        <w:rPr>
          <w:rFonts w:hint="eastAsia" w:ascii="黑体" w:hAnsi="黑体" w:eastAsia="黑体"/>
          <w:color w:val="000000" w:themeColor="text1"/>
          <w:sz w:val="28"/>
          <w:szCs w:val="28"/>
          <w14:textFill>
            <w14:solidFill>
              <w14:schemeClr w14:val="tx1"/>
            </w14:solidFill>
          </w14:textFill>
        </w:rPr>
        <w:t>发 布</w:t>
      </w:r>
    </w:p>
    <w:p>
      <w:pPr>
        <w:rPr>
          <w:rFonts w:ascii="黑体" w:hAnsi="黑体" w:eastAsia="黑体"/>
          <w:color w:val="000000" w:themeColor="text1"/>
          <w:sz w:val="28"/>
          <w:szCs w:val="28"/>
          <w14:textFill>
            <w14:solidFill>
              <w14:schemeClr w14:val="tx1"/>
            </w14:solidFill>
          </w14:textFill>
        </w:rPr>
      </w:pPr>
    </w:p>
    <w:p>
      <w:pPr>
        <w:pStyle w:val="2"/>
        <w:sectPr>
          <w:footerReference r:id="rId3" w:type="even"/>
          <w:pgSz w:w="11906" w:h="16838"/>
          <w:pgMar w:top="567" w:right="851" w:bottom="1134" w:left="1418" w:header="0" w:footer="0" w:gutter="0"/>
          <w:cols w:space="425" w:num="1"/>
          <w:docGrid w:type="lines" w:linePitch="312" w:charSpace="0"/>
        </w:sectPr>
      </w:pPr>
    </w:p>
    <w:p>
      <w:pPr>
        <w:widowControl w:val="0"/>
        <w:snapToGrid w:val="0"/>
        <w:spacing w:before="567" w:after="680"/>
        <w:jc w:val="center"/>
        <w:rPr>
          <w:rFonts w:hint="eastAsia" w:ascii="黑体" w:hAnsi="黑体" w:eastAsia="黑体" w:cstheme="minorBidi"/>
          <w:kern w:val="2"/>
          <w:sz w:val="32"/>
          <w:szCs w:val="32"/>
          <w:lang w:val="en-US"/>
        </w:rPr>
      </w:pPr>
      <w:bookmarkStart w:id="0" w:name="BookMark2"/>
      <w:r>
        <w:rPr>
          <w:rFonts w:hint="eastAsia" w:ascii="黑体" w:hAnsi="黑体" w:eastAsia="黑体" w:cstheme="minorBidi"/>
          <w:kern w:val="2"/>
          <w:sz w:val="32"/>
          <w:szCs w:val="32"/>
          <w:lang w:val="en-US"/>
        </w:rPr>
        <w:t>目    次</w:t>
      </w:r>
    </w:p>
    <w:p>
      <w:pPr>
        <w:pStyle w:val="23"/>
        <w:tabs>
          <w:tab w:val="right" w:leader="dot" w:pos="9072"/>
        </w:tabs>
        <w:rPr>
          <w:rFonts w:hint="eastAsia" w:ascii="宋体" w:hAnsi="宋体" w:eastAsia="宋体" w:cs="宋体"/>
          <w:szCs w:val="21"/>
          <w:lang w:val="en-US" w:eastAsia="zh-CN"/>
        </w:rPr>
      </w:pPr>
      <w:r>
        <w:rPr>
          <w:rFonts w:hint="eastAsia" w:ascii="宋体" w:hAnsi="宋体" w:eastAsia="宋体" w:cs="宋体"/>
        </w:rPr>
        <w:fldChar w:fldCharType="begin"/>
      </w:r>
      <w:r>
        <w:rPr>
          <w:rFonts w:hint="eastAsia" w:ascii="宋体" w:hAnsi="宋体" w:eastAsia="宋体" w:cs="宋体"/>
        </w:rPr>
        <w:instrText xml:space="preserve">TOC \o "1-2" \h \u </w:instrText>
      </w:r>
      <w:r>
        <w:rPr>
          <w:rFonts w:hint="eastAsia" w:ascii="宋体" w:hAnsi="宋体" w:eastAsia="宋体" w:cs="宋体"/>
        </w:rPr>
        <w:fldChar w:fldCharType="separate"/>
      </w:r>
      <w:r>
        <w:rPr>
          <w:rFonts w:hint="eastAsia" w:ascii="宋体" w:hAnsi="宋体" w:eastAsia="宋体" w:cs="宋体"/>
          <w:szCs w:val="21"/>
          <w:lang w:val="en-US" w:eastAsia="zh-CN"/>
        </w:rPr>
        <w:fldChar w:fldCharType="begin"/>
      </w:r>
      <w:r>
        <w:rPr>
          <w:rFonts w:hint="eastAsia" w:ascii="宋体" w:hAnsi="宋体" w:eastAsia="宋体" w:cs="宋体"/>
          <w:szCs w:val="21"/>
          <w:lang w:val="en-US" w:eastAsia="zh-CN"/>
        </w:rPr>
        <w:instrText xml:space="preserve"> HYPERLINK \l _Toc25263 </w:instrText>
      </w:r>
      <w:r>
        <w:rPr>
          <w:rFonts w:hint="eastAsia" w:ascii="宋体" w:hAnsi="宋体" w:eastAsia="宋体" w:cs="宋体"/>
          <w:szCs w:val="21"/>
          <w:lang w:val="en-US" w:eastAsia="zh-CN"/>
        </w:rPr>
        <w:fldChar w:fldCharType="separate"/>
      </w:r>
      <w:r>
        <w:rPr>
          <w:rFonts w:hint="eastAsia" w:ascii="宋体" w:hAnsi="宋体" w:eastAsia="宋体" w:cs="宋体"/>
          <w:szCs w:val="21"/>
          <w:lang w:val="en-US" w:eastAsia="zh-CN"/>
        </w:rPr>
        <w:t>前言</w:t>
      </w:r>
      <w:r>
        <w:rPr>
          <w:rFonts w:hint="eastAsia" w:ascii="宋体" w:hAnsi="宋体" w:eastAsia="宋体" w:cs="宋体"/>
          <w:szCs w:val="21"/>
          <w:lang w:val="en-US" w:eastAsia="zh-CN"/>
        </w:rPr>
        <w:tab/>
      </w:r>
      <w:r>
        <w:rPr>
          <w:rFonts w:hint="eastAsia" w:ascii="宋体" w:hAnsi="宋体" w:eastAsia="宋体" w:cs="宋体"/>
          <w:szCs w:val="21"/>
          <w:lang w:val="en-US" w:eastAsia="zh-CN"/>
        </w:rPr>
        <w:fldChar w:fldCharType="begin"/>
      </w:r>
      <w:r>
        <w:rPr>
          <w:rFonts w:hint="eastAsia" w:ascii="宋体" w:hAnsi="宋体" w:eastAsia="宋体" w:cs="宋体"/>
          <w:szCs w:val="21"/>
          <w:lang w:val="en-US" w:eastAsia="zh-CN"/>
        </w:rPr>
        <w:instrText xml:space="preserve"> PAGEREF _Toc25263 \h </w:instrText>
      </w:r>
      <w:r>
        <w:rPr>
          <w:rFonts w:hint="eastAsia" w:ascii="宋体" w:hAnsi="宋体" w:eastAsia="宋体" w:cs="宋体"/>
          <w:szCs w:val="21"/>
          <w:lang w:val="en-US" w:eastAsia="zh-CN"/>
        </w:rPr>
        <w:fldChar w:fldCharType="separate"/>
      </w:r>
      <w:r>
        <w:rPr>
          <w:rFonts w:hint="eastAsia" w:ascii="宋体" w:hAnsi="宋体" w:eastAsia="宋体" w:cs="宋体"/>
          <w:szCs w:val="21"/>
          <w:lang w:val="en-US" w:eastAsia="zh-CN"/>
        </w:rPr>
        <w:t>II</w:t>
      </w:r>
      <w:r>
        <w:rPr>
          <w:rFonts w:hint="eastAsia" w:ascii="宋体" w:hAnsi="宋体" w:eastAsia="宋体" w:cs="宋体"/>
          <w:szCs w:val="21"/>
          <w:lang w:val="en-US" w:eastAsia="zh-CN"/>
        </w:rPr>
        <w:fldChar w:fldCharType="end"/>
      </w:r>
      <w:r>
        <w:rPr>
          <w:rFonts w:hint="eastAsia" w:ascii="宋体" w:hAnsi="宋体" w:eastAsia="宋体" w:cs="宋体"/>
          <w:szCs w:val="21"/>
          <w:lang w:val="en-US" w:eastAsia="zh-CN"/>
        </w:rPr>
        <w:fldChar w:fldCharType="end"/>
      </w:r>
    </w:p>
    <w:p>
      <w:pPr>
        <w:pStyle w:val="275"/>
        <w:tabs>
          <w:tab w:val="right" w:leader="dot" w:pos="9072"/>
        </w:tabs>
        <w:ind w:lef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HYPERLINK \l _Toc14375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1  范围</w:t>
      </w:r>
      <w:r>
        <w:rPr>
          <w:rFonts w:hint="eastAsia" w:ascii="宋体" w:hAnsi="宋体" w:eastAsia="宋体" w:cs="宋体"/>
          <w:color w:val="000000" w:themeColor="text1"/>
          <w:kern w:val="2"/>
          <w:sz w:val="21"/>
          <w:szCs w:val="21"/>
          <w:lang w:val="en-US" w:eastAsia="zh-CN" w:bidi="ar-SA"/>
          <w14:textFill>
            <w14:solidFill>
              <w14:schemeClr w14:val="tx1"/>
            </w14:solidFill>
          </w14:textFill>
        </w:rPr>
        <w:tab/>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PAGEREF _Toc14375 \h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1</w: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p>
    <w:p>
      <w:pPr>
        <w:pStyle w:val="275"/>
        <w:tabs>
          <w:tab w:val="right" w:leader="dot" w:pos="9072"/>
        </w:tabs>
        <w:ind w:lef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HYPERLINK \l _Toc28357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2  规范性引用文件</w:t>
      </w:r>
      <w:r>
        <w:rPr>
          <w:rFonts w:hint="eastAsia" w:ascii="宋体" w:hAnsi="宋体" w:eastAsia="宋体" w:cs="宋体"/>
          <w:color w:val="000000" w:themeColor="text1"/>
          <w:kern w:val="2"/>
          <w:sz w:val="21"/>
          <w:szCs w:val="21"/>
          <w:lang w:val="en-US" w:eastAsia="zh-CN" w:bidi="ar-SA"/>
          <w14:textFill>
            <w14:solidFill>
              <w14:schemeClr w14:val="tx1"/>
            </w14:solidFill>
          </w14:textFill>
        </w:rPr>
        <w:tab/>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PAGEREF _Toc28357 \h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1</w: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p>
    <w:p>
      <w:pPr>
        <w:pStyle w:val="275"/>
        <w:tabs>
          <w:tab w:val="right" w:leader="dot" w:pos="9072"/>
        </w:tabs>
        <w:ind w:lef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HYPERLINK \l _Toc27852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3  术语和定义</w:t>
      </w:r>
      <w:r>
        <w:rPr>
          <w:rFonts w:hint="eastAsia" w:ascii="宋体" w:hAnsi="宋体" w:eastAsia="宋体" w:cs="宋体"/>
          <w:color w:val="000000" w:themeColor="text1"/>
          <w:kern w:val="2"/>
          <w:sz w:val="21"/>
          <w:szCs w:val="21"/>
          <w:lang w:val="en-US" w:eastAsia="zh-CN" w:bidi="ar-SA"/>
          <w14:textFill>
            <w14:solidFill>
              <w14:schemeClr w14:val="tx1"/>
            </w14:solidFill>
          </w14:textFill>
        </w:rPr>
        <w:tab/>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PAGEREF _Toc27852 \h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1</w: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p>
    <w:p>
      <w:pPr>
        <w:pStyle w:val="275"/>
        <w:tabs>
          <w:tab w:val="right" w:leader="dot" w:pos="9072"/>
        </w:tabs>
        <w:ind w:lef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HYPERLINK \l _Toc30788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4  基本原则</w:t>
      </w:r>
      <w:r>
        <w:rPr>
          <w:rFonts w:hint="eastAsia" w:ascii="宋体" w:hAnsi="宋体" w:eastAsia="宋体" w:cs="宋体"/>
          <w:color w:val="000000" w:themeColor="text1"/>
          <w:kern w:val="2"/>
          <w:sz w:val="21"/>
          <w:szCs w:val="21"/>
          <w:lang w:val="en-US" w:eastAsia="zh-CN" w:bidi="ar-SA"/>
          <w14:textFill>
            <w14:solidFill>
              <w14:schemeClr w14:val="tx1"/>
            </w14:solidFill>
          </w14:textFill>
        </w:rPr>
        <w:tab/>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PAGEREF _Toc30788 \h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2</w: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p>
    <w:p>
      <w:pPr>
        <w:pStyle w:val="276"/>
        <w:tabs>
          <w:tab w:val="right" w:leader="dot" w:pos="9072"/>
        </w:tabs>
        <w:ind w:left="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_Toc17317 </w:instrText>
      </w:r>
      <w:r>
        <w:rPr>
          <w:rFonts w:hint="eastAsia" w:ascii="宋体" w:hAnsi="宋体" w:eastAsia="宋体" w:cs="宋体"/>
          <w:sz w:val="21"/>
          <w:szCs w:val="21"/>
        </w:rPr>
        <w:fldChar w:fldCharType="separate"/>
      </w:r>
      <w:r>
        <w:rPr>
          <w:rFonts w:hint="eastAsia" w:ascii="宋体" w:hAnsi="宋体" w:eastAsia="宋体" w:cs="宋体"/>
          <w:sz w:val="21"/>
          <w:szCs w:val="21"/>
          <w:lang w:val="zh-CN" w:eastAsia="zh-CN"/>
        </w:rPr>
        <w:t xml:space="preserve">4.1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eastAsia="zh-CN"/>
        </w:rPr>
        <w:t>目标导向原则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_Toc17317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6"/>
        <w:tabs>
          <w:tab w:val="right" w:leader="dot" w:pos="9072"/>
        </w:tabs>
        <w:ind w:left="0"/>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HYPERLINK \l _Toc23766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 xml:space="preserve">4.2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eastAsia="zh-CN"/>
        </w:rPr>
        <w:t>闭环处置原则</w:t>
      </w:r>
      <w:r>
        <w:rPr>
          <w:rFonts w:hint="eastAsia" w:ascii="宋体" w:hAnsi="宋体" w:eastAsia="宋体" w:cs="宋体"/>
          <w:sz w:val="21"/>
          <w:szCs w:val="21"/>
          <w:lang w:val="zh-CN" w:eastAsia="zh-CN"/>
        </w:rPr>
        <w:tab/>
      </w: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PAGEREF _Toc23766 \h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2</w:t>
      </w:r>
      <w:r>
        <w:rPr>
          <w:rFonts w:hint="eastAsia" w:ascii="宋体" w:hAnsi="宋体" w:eastAsia="宋体" w:cs="宋体"/>
          <w:sz w:val="21"/>
          <w:szCs w:val="21"/>
          <w:lang w:val="zh-CN" w:eastAsia="zh-CN"/>
        </w:rPr>
        <w:fldChar w:fldCharType="end"/>
      </w:r>
      <w:r>
        <w:rPr>
          <w:rFonts w:hint="eastAsia" w:ascii="宋体" w:hAnsi="宋体" w:eastAsia="宋体" w:cs="宋体"/>
          <w:sz w:val="21"/>
          <w:szCs w:val="21"/>
          <w:lang w:val="zh-CN" w:eastAsia="zh-CN"/>
        </w:rPr>
        <w:fldChar w:fldCharType="end"/>
      </w:r>
    </w:p>
    <w:p>
      <w:pPr>
        <w:pStyle w:val="276"/>
        <w:tabs>
          <w:tab w:val="right" w:leader="dot" w:pos="9072"/>
        </w:tabs>
        <w:ind w:left="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_Toc4408 </w:instrText>
      </w:r>
      <w:r>
        <w:rPr>
          <w:rFonts w:hint="eastAsia" w:ascii="宋体" w:hAnsi="宋体" w:eastAsia="宋体" w:cs="宋体"/>
          <w:sz w:val="21"/>
          <w:szCs w:val="21"/>
        </w:rPr>
        <w:fldChar w:fldCharType="separate"/>
      </w:r>
      <w:r>
        <w:rPr>
          <w:rFonts w:hint="eastAsia" w:ascii="宋体" w:hAnsi="宋体" w:eastAsia="宋体" w:cs="宋体"/>
          <w:sz w:val="21"/>
          <w:szCs w:val="21"/>
          <w:lang w:val="zh-CN" w:eastAsia="zh-CN"/>
        </w:rPr>
        <w:t xml:space="preserve">4.3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eastAsia="zh-CN"/>
        </w:rPr>
        <w:t>持续改进原则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_Toc4408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5"/>
        <w:tabs>
          <w:tab w:val="right" w:leader="dot" w:pos="9072"/>
        </w:tabs>
        <w:ind w:lef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HYPERLINK \l _Toc24164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5  监测方法及方式</w:t>
      </w:r>
      <w:r>
        <w:rPr>
          <w:rFonts w:hint="eastAsia" w:ascii="宋体" w:hAnsi="宋体" w:eastAsia="宋体" w:cs="宋体"/>
          <w:color w:val="000000" w:themeColor="text1"/>
          <w:kern w:val="2"/>
          <w:sz w:val="21"/>
          <w:szCs w:val="21"/>
          <w:lang w:val="en-US" w:eastAsia="zh-CN" w:bidi="ar-SA"/>
          <w14:textFill>
            <w14:solidFill>
              <w14:schemeClr w14:val="tx1"/>
            </w14:solidFill>
          </w14:textFill>
        </w:rPr>
        <w:tab/>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PAGEREF _Toc24164 \h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2</w: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p>
    <w:p>
      <w:pPr>
        <w:pStyle w:val="276"/>
        <w:tabs>
          <w:tab w:val="right" w:leader="dot" w:pos="9072"/>
        </w:tabs>
        <w:ind w:left="0"/>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HYPERLINK \l _Toc14683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 xml:space="preserve">5.1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eastAsia="zh-CN"/>
        </w:rPr>
        <w:t>监测方法</w:t>
      </w:r>
      <w:r>
        <w:rPr>
          <w:rFonts w:hint="eastAsia" w:ascii="宋体" w:hAnsi="宋体" w:eastAsia="宋体" w:cs="宋体"/>
          <w:sz w:val="21"/>
          <w:szCs w:val="21"/>
          <w:lang w:val="zh-CN" w:eastAsia="zh-CN"/>
        </w:rPr>
        <w:tab/>
      </w: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PAGEREF _Toc14683 \h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2</w:t>
      </w:r>
      <w:r>
        <w:rPr>
          <w:rFonts w:hint="eastAsia" w:ascii="宋体" w:hAnsi="宋体" w:eastAsia="宋体" w:cs="宋体"/>
          <w:sz w:val="21"/>
          <w:szCs w:val="21"/>
          <w:lang w:val="zh-CN" w:eastAsia="zh-CN"/>
        </w:rPr>
        <w:fldChar w:fldCharType="end"/>
      </w:r>
      <w:r>
        <w:rPr>
          <w:rFonts w:hint="eastAsia" w:ascii="宋体" w:hAnsi="宋体" w:eastAsia="宋体" w:cs="宋体"/>
          <w:sz w:val="21"/>
          <w:szCs w:val="21"/>
          <w:lang w:val="zh-CN" w:eastAsia="zh-CN"/>
        </w:rPr>
        <w:fldChar w:fldCharType="end"/>
      </w:r>
    </w:p>
    <w:p>
      <w:pPr>
        <w:pStyle w:val="276"/>
        <w:tabs>
          <w:tab w:val="right" w:leader="dot" w:pos="9072"/>
        </w:tabs>
        <w:ind w:left="0"/>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HYPERLINK \l _Toc7349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 xml:space="preserve">5.2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eastAsia="zh-CN"/>
        </w:rPr>
        <w:t>监测方式</w:t>
      </w:r>
      <w:r>
        <w:rPr>
          <w:rFonts w:hint="eastAsia" w:ascii="宋体" w:hAnsi="宋体" w:eastAsia="宋体" w:cs="宋体"/>
          <w:sz w:val="21"/>
          <w:szCs w:val="21"/>
          <w:lang w:val="zh-CN" w:eastAsia="zh-CN"/>
        </w:rPr>
        <w:tab/>
      </w: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PAGEREF _Toc7349 \h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2</w:t>
      </w:r>
      <w:r>
        <w:rPr>
          <w:rFonts w:hint="eastAsia" w:ascii="宋体" w:hAnsi="宋体" w:eastAsia="宋体" w:cs="宋体"/>
          <w:sz w:val="21"/>
          <w:szCs w:val="21"/>
          <w:lang w:val="zh-CN" w:eastAsia="zh-CN"/>
        </w:rPr>
        <w:fldChar w:fldCharType="end"/>
      </w:r>
      <w:r>
        <w:rPr>
          <w:rFonts w:hint="eastAsia" w:ascii="宋体" w:hAnsi="宋体" w:eastAsia="宋体" w:cs="宋体"/>
          <w:sz w:val="21"/>
          <w:szCs w:val="21"/>
          <w:lang w:val="zh-CN" w:eastAsia="zh-CN"/>
        </w:rPr>
        <w:fldChar w:fldCharType="end"/>
      </w:r>
    </w:p>
    <w:p>
      <w:pPr>
        <w:pStyle w:val="275"/>
        <w:tabs>
          <w:tab w:val="right" w:leader="dot" w:pos="9072"/>
        </w:tabs>
        <w:ind w:lef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HYPERLINK \l _Toc8922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6  监测指标</w:t>
      </w:r>
      <w:r>
        <w:rPr>
          <w:rFonts w:hint="eastAsia" w:ascii="宋体" w:hAnsi="宋体" w:eastAsia="宋体" w:cs="宋体"/>
          <w:color w:val="000000" w:themeColor="text1"/>
          <w:kern w:val="2"/>
          <w:sz w:val="21"/>
          <w:szCs w:val="21"/>
          <w:lang w:val="en-US" w:eastAsia="zh-CN" w:bidi="ar-SA"/>
          <w14:textFill>
            <w14:solidFill>
              <w14:schemeClr w14:val="tx1"/>
            </w14:solidFill>
          </w14:textFill>
        </w:rPr>
        <w:tab/>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PAGEREF _Toc8922 \h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2</w: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p>
    <w:p>
      <w:pPr>
        <w:pStyle w:val="276"/>
        <w:tabs>
          <w:tab w:val="right" w:leader="dot" w:pos="9072"/>
        </w:tabs>
        <w:ind w:left="0"/>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HYPERLINK \l _Toc6398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 xml:space="preserve">6.1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eastAsia="zh-CN"/>
        </w:rPr>
        <w:t>监测指标框架</w:t>
      </w:r>
      <w:r>
        <w:rPr>
          <w:rFonts w:hint="eastAsia" w:ascii="宋体" w:hAnsi="宋体" w:eastAsia="宋体" w:cs="宋体"/>
          <w:sz w:val="21"/>
          <w:szCs w:val="21"/>
          <w:lang w:val="zh-CN" w:eastAsia="zh-CN"/>
        </w:rPr>
        <w:tab/>
      </w: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PAGEREF _Toc6398 \h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2</w:t>
      </w:r>
      <w:r>
        <w:rPr>
          <w:rFonts w:hint="eastAsia" w:ascii="宋体" w:hAnsi="宋体" w:eastAsia="宋体" w:cs="宋体"/>
          <w:sz w:val="21"/>
          <w:szCs w:val="21"/>
          <w:lang w:val="zh-CN" w:eastAsia="zh-CN"/>
        </w:rPr>
        <w:fldChar w:fldCharType="end"/>
      </w:r>
      <w:r>
        <w:rPr>
          <w:rFonts w:hint="eastAsia" w:ascii="宋体" w:hAnsi="宋体" w:eastAsia="宋体" w:cs="宋体"/>
          <w:sz w:val="21"/>
          <w:szCs w:val="21"/>
          <w:lang w:val="zh-CN" w:eastAsia="zh-CN"/>
        </w:rPr>
        <w:fldChar w:fldCharType="end"/>
      </w:r>
    </w:p>
    <w:p>
      <w:pPr>
        <w:pStyle w:val="276"/>
        <w:tabs>
          <w:tab w:val="right" w:leader="dot" w:pos="9072"/>
        </w:tabs>
        <w:ind w:left="0"/>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HYPERLINK \l _Toc4428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 xml:space="preserve">6.2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eastAsia="zh-CN"/>
        </w:rPr>
        <w:t>数据质量指标</w:t>
      </w:r>
      <w:r>
        <w:rPr>
          <w:rFonts w:hint="eastAsia" w:ascii="宋体" w:hAnsi="宋体" w:eastAsia="宋体" w:cs="宋体"/>
          <w:sz w:val="21"/>
          <w:szCs w:val="21"/>
          <w:lang w:val="zh-CN" w:eastAsia="zh-CN"/>
        </w:rPr>
        <w:tab/>
      </w: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PAGEREF _Toc4428 \h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3</w:t>
      </w:r>
      <w:r>
        <w:rPr>
          <w:rFonts w:hint="eastAsia" w:ascii="宋体" w:hAnsi="宋体" w:eastAsia="宋体" w:cs="宋体"/>
          <w:sz w:val="21"/>
          <w:szCs w:val="21"/>
          <w:lang w:val="zh-CN" w:eastAsia="zh-CN"/>
        </w:rPr>
        <w:fldChar w:fldCharType="end"/>
      </w:r>
      <w:r>
        <w:rPr>
          <w:rFonts w:hint="eastAsia" w:ascii="宋体" w:hAnsi="宋体" w:eastAsia="宋体" w:cs="宋体"/>
          <w:sz w:val="21"/>
          <w:szCs w:val="21"/>
          <w:lang w:val="zh-CN" w:eastAsia="zh-CN"/>
        </w:rPr>
        <w:fldChar w:fldCharType="end"/>
      </w:r>
    </w:p>
    <w:p>
      <w:pPr>
        <w:pStyle w:val="276"/>
        <w:tabs>
          <w:tab w:val="right" w:leader="dot" w:pos="9072"/>
        </w:tabs>
        <w:ind w:left="0"/>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HYPERLINK \l _Toc31463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 xml:space="preserve">6.3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eastAsia="zh-CN"/>
        </w:rPr>
        <w:t>工作质量指标</w:t>
      </w:r>
      <w:r>
        <w:rPr>
          <w:rFonts w:hint="eastAsia" w:ascii="宋体" w:hAnsi="宋体" w:eastAsia="宋体" w:cs="宋体"/>
          <w:sz w:val="21"/>
          <w:szCs w:val="21"/>
          <w:lang w:val="zh-CN" w:eastAsia="zh-CN"/>
        </w:rPr>
        <w:tab/>
      </w: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PAGEREF _Toc31463 \h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3</w:t>
      </w:r>
      <w:r>
        <w:rPr>
          <w:rFonts w:hint="eastAsia" w:ascii="宋体" w:hAnsi="宋体" w:eastAsia="宋体" w:cs="宋体"/>
          <w:sz w:val="21"/>
          <w:szCs w:val="21"/>
          <w:lang w:val="zh-CN" w:eastAsia="zh-CN"/>
        </w:rPr>
        <w:fldChar w:fldCharType="end"/>
      </w:r>
      <w:r>
        <w:rPr>
          <w:rFonts w:hint="eastAsia" w:ascii="宋体" w:hAnsi="宋体" w:eastAsia="宋体" w:cs="宋体"/>
          <w:sz w:val="21"/>
          <w:szCs w:val="21"/>
          <w:lang w:val="zh-CN" w:eastAsia="zh-CN"/>
        </w:rPr>
        <w:fldChar w:fldCharType="end"/>
      </w:r>
    </w:p>
    <w:p>
      <w:pPr>
        <w:pStyle w:val="275"/>
        <w:tabs>
          <w:tab w:val="right" w:leader="dot" w:pos="9072"/>
        </w:tabs>
        <w:ind w:lef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HYPERLINK \l _Toc24182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7  监测流程及要求</w:t>
      </w:r>
      <w:r>
        <w:rPr>
          <w:rFonts w:hint="eastAsia" w:ascii="宋体" w:hAnsi="宋体" w:eastAsia="宋体" w:cs="宋体"/>
          <w:color w:val="000000" w:themeColor="text1"/>
          <w:kern w:val="2"/>
          <w:sz w:val="21"/>
          <w:szCs w:val="21"/>
          <w:lang w:val="en-US" w:eastAsia="zh-CN" w:bidi="ar-SA"/>
          <w14:textFill>
            <w14:solidFill>
              <w14:schemeClr w14:val="tx1"/>
            </w14:solidFill>
          </w14:textFill>
        </w:rPr>
        <w:tab/>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PAGEREF _Toc24182 \h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3</w: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p>
    <w:p>
      <w:pPr>
        <w:pStyle w:val="276"/>
        <w:tabs>
          <w:tab w:val="right" w:leader="dot" w:pos="9072"/>
        </w:tabs>
        <w:ind w:left="0"/>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HYPERLINK \l _Toc19160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en-US" w:eastAsia="zh-CN"/>
        </w:rPr>
        <w:t>7.1  工作流程</w:t>
      </w:r>
      <w:r>
        <w:rPr>
          <w:rFonts w:hint="eastAsia" w:ascii="宋体" w:hAnsi="宋体" w:eastAsia="宋体" w:cs="宋体"/>
          <w:sz w:val="21"/>
          <w:szCs w:val="21"/>
          <w:lang w:val="zh-CN" w:eastAsia="zh-CN"/>
        </w:rPr>
        <w:tab/>
      </w: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PAGEREF _Toc19160 \h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3</w:t>
      </w:r>
      <w:r>
        <w:rPr>
          <w:rFonts w:hint="eastAsia" w:ascii="宋体" w:hAnsi="宋体" w:eastAsia="宋体" w:cs="宋体"/>
          <w:sz w:val="21"/>
          <w:szCs w:val="21"/>
          <w:lang w:val="zh-CN" w:eastAsia="zh-CN"/>
        </w:rPr>
        <w:fldChar w:fldCharType="end"/>
      </w:r>
      <w:r>
        <w:rPr>
          <w:rFonts w:hint="eastAsia" w:ascii="宋体" w:hAnsi="宋体" w:eastAsia="宋体" w:cs="宋体"/>
          <w:sz w:val="21"/>
          <w:szCs w:val="21"/>
          <w:lang w:val="zh-CN" w:eastAsia="zh-CN"/>
        </w:rPr>
        <w:fldChar w:fldCharType="end"/>
      </w:r>
    </w:p>
    <w:p>
      <w:pPr>
        <w:pStyle w:val="276"/>
        <w:tabs>
          <w:tab w:val="right" w:leader="dot" w:pos="9072"/>
        </w:tabs>
        <w:ind w:left="0"/>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HYPERLINK \l _Toc6131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 xml:space="preserve">7.2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eastAsia="zh-CN"/>
        </w:rPr>
        <w:t>方案规划</w:t>
      </w:r>
      <w:r>
        <w:rPr>
          <w:rFonts w:hint="eastAsia" w:ascii="宋体" w:hAnsi="宋体" w:eastAsia="宋体" w:cs="宋体"/>
          <w:sz w:val="21"/>
          <w:szCs w:val="21"/>
          <w:lang w:val="zh-CN" w:eastAsia="zh-CN"/>
        </w:rPr>
        <w:tab/>
      </w: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PAGEREF _Toc6131 \h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4</w:t>
      </w:r>
      <w:r>
        <w:rPr>
          <w:rFonts w:hint="eastAsia" w:ascii="宋体" w:hAnsi="宋体" w:eastAsia="宋体" w:cs="宋体"/>
          <w:sz w:val="21"/>
          <w:szCs w:val="21"/>
          <w:lang w:val="zh-CN" w:eastAsia="zh-CN"/>
        </w:rPr>
        <w:fldChar w:fldCharType="end"/>
      </w:r>
      <w:r>
        <w:rPr>
          <w:rFonts w:hint="eastAsia" w:ascii="宋体" w:hAnsi="宋体" w:eastAsia="宋体" w:cs="宋体"/>
          <w:sz w:val="21"/>
          <w:szCs w:val="21"/>
          <w:lang w:val="zh-CN" w:eastAsia="zh-CN"/>
        </w:rPr>
        <w:fldChar w:fldCharType="end"/>
      </w:r>
    </w:p>
    <w:p>
      <w:pPr>
        <w:pStyle w:val="276"/>
        <w:tabs>
          <w:tab w:val="right" w:leader="dot" w:pos="9072"/>
        </w:tabs>
        <w:ind w:left="0"/>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HYPERLINK \l _Toc13194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 xml:space="preserve">7.3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eastAsia="zh-CN"/>
        </w:rPr>
        <w:t>监测实施</w:t>
      </w:r>
      <w:r>
        <w:rPr>
          <w:rFonts w:hint="eastAsia" w:ascii="宋体" w:hAnsi="宋体" w:eastAsia="宋体" w:cs="宋体"/>
          <w:sz w:val="21"/>
          <w:szCs w:val="21"/>
          <w:lang w:val="zh-CN" w:eastAsia="zh-CN"/>
        </w:rPr>
        <w:tab/>
      </w: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PAGEREF _Toc13194 \h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5</w:t>
      </w:r>
      <w:r>
        <w:rPr>
          <w:rFonts w:hint="eastAsia" w:ascii="宋体" w:hAnsi="宋体" w:eastAsia="宋体" w:cs="宋体"/>
          <w:sz w:val="21"/>
          <w:szCs w:val="21"/>
          <w:lang w:val="zh-CN" w:eastAsia="zh-CN"/>
        </w:rPr>
        <w:fldChar w:fldCharType="end"/>
      </w:r>
      <w:r>
        <w:rPr>
          <w:rFonts w:hint="eastAsia" w:ascii="宋体" w:hAnsi="宋体" w:eastAsia="宋体" w:cs="宋体"/>
          <w:sz w:val="21"/>
          <w:szCs w:val="21"/>
          <w:lang w:val="zh-CN" w:eastAsia="zh-CN"/>
        </w:rPr>
        <w:fldChar w:fldCharType="end"/>
      </w:r>
    </w:p>
    <w:p>
      <w:pPr>
        <w:pStyle w:val="276"/>
        <w:tabs>
          <w:tab w:val="right" w:leader="dot" w:pos="9072"/>
        </w:tabs>
        <w:ind w:left="0"/>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HYPERLINK \l _Toc27391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 xml:space="preserve">7.4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eastAsia="zh-CN"/>
        </w:rPr>
        <w:t>综合评价</w:t>
      </w:r>
      <w:r>
        <w:rPr>
          <w:rFonts w:hint="eastAsia" w:ascii="宋体" w:hAnsi="宋体" w:eastAsia="宋体" w:cs="宋体"/>
          <w:sz w:val="21"/>
          <w:szCs w:val="21"/>
          <w:lang w:val="zh-CN" w:eastAsia="zh-CN"/>
        </w:rPr>
        <w:tab/>
      </w: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PAGEREF _Toc27391 \h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6</w:t>
      </w:r>
      <w:r>
        <w:rPr>
          <w:rFonts w:hint="eastAsia" w:ascii="宋体" w:hAnsi="宋体" w:eastAsia="宋体" w:cs="宋体"/>
          <w:sz w:val="21"/>
          <w:szCs w:val="21"/>
          <w:lang w:val="zh-CN" w:eastAsia="zh-CN"/>
        </w:rPr>
        <w:fldChar w:fldCharType="end"/>
      </w:r>
      <w:r>
        <w:rPr>
          <w:rFonts w:hint="eastAsia" w:ascii="宋体" w:hAnsi="宋体" w:eastAsia="宋体" w:cs="宋体"/>
          <w:sz w:val="21"/>
          <w:szCs w:val="21"/>
          <w:lang w:val="zh-CN" w:eastAsia="zh-CN"/>
        </w:rPr>
        <w:fldChar w:fldCharType="end"/>
      </w:r>
    </w:p>
    <w:p>
      <w:pPr>
        <w:pStyle w:val="276"/>
        <w:tabs>
          <w:tab w:val="right" w:leader="dot" w:pos="9072"/>
        </w:tabs>
        <w:ind w:left="0"/>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HYPERLINK \l _Toc11559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 xml:space="preserve">7.5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eastAsia="zh-CN"/>
        </w:rPr>
        <w:t>结果应用</w:t>
      </w:r>
      <w:r>
        <w:rPr>
          <w:rFonts w:hint="eastAsia" w:ascii="宋体" w:hAnsi="宋体" w:eastAsia="宋体" w:cs="宋体"/>
          <w:sz w:val="21"/>
          <w:szCs w:val="21"/>
          <w:lang w:val="zh-CN" w:eastAsia="zh-CN"/>
        </w:rPr>
        <w:tab/>
      </w:r>
      <w:r>
        <w:rPr>
          <w:rFonts w:hint="eastAsia" w:ascii="宋体" w:hAnsi="宋体" w:eastAsia="宋体" w:cs="宋体"/>
          <w:sz w:val="21"/>
          <w:szCs w:val="21"/>
          <w:lang w:val="zh-CN" w:eastAsia="zh-CN"/>
        </w:rPr>
        <w:fldChar w:fldCharType="begin"/>
      </w:r>
      <w:r>
        <w:rPr>
          <w:rFonts w:hint="eastAsia" w:ascii="宋体" w:hAnsi="宋体" w:eastAsia="宋体" w:cs="宋体"/>
          <w:sz w:val="21"/>
          <w:szCs w:val="21"/>
          <w:lang w:val="zh-CN" w:eastAsia="zh-CN"/>
        </w:rPr>
        <w:instrText xml:space="preserve"> PAGEREF _Toc11559 \h </w:instrText>
      </w:r>
      <w:r>
        <w:rPr>
          <w:rFonts w:hint="eastAsia" w:ascii="宋体" w:hAnsi="宋体" w:eastAsia="宋体" w:cs="宋体"/>
          <w:sz w:val="21"/>
          <w:szCs w:val="21"/>
          <w:lang w:val="zh-CN" w:eastAsia="zh-CN"/>
        </w:rPr>
        <w:fldChar w:fldCharType="separate"/>
      </w:r>
      <w:r>
        <w:rPr>
          <w:rFonts w:hint="eastAsia" w:ascii="宋体" w:hAnsi="宋体" w:eastAsia="宋体" w:cs="宋体"/>
          <w:sz w:val="21"/>
          <w:szCs w:val="21"/>
          <w:lang w:val="zh-CN" w:eastAsia="zh-CN"/>
        </w:rPr>
        <w:t>6</w:t>
      </w:r>
      <w:r>
        <w:rPr>
          <w:rFonts w:hint="eastAsia" w:ascii="宋体" w:hAnsi="宋体" w:eastAsia="宋体" w:cs="宋体"/>
          <w:sz w:val="21"/>
          <w:szCs w:val="21"/>
          <w:lang w:val="zh-CN" w:eastAsia="zh-CN"/>
        </w:rPr>
        <w:fldChar w:fldCharType="end"/>
      </w:r>
      <w:r>
        <w:rPr>
          <w:rFonts w:hint="eastAsia" w:ascii="宋体" w:hAnsi="宋体" w:eastAsia="宋体" w:cs="宋体"/>
          <w:sz w:val="21"/>
          <w:szCs w:val="21"/>
          <w:lang w:val="zh-CN" w:eastAsia="zh-CN"/>
        </w:rPr>
        <w:fldChar w:fldCharType="end"/>
      </w:r>
    </w:p>
    <w:p>
      <w:pPr>
        <w:pStyle w:val="275"/>
        <w:tabs>
          <w:tab w:val="right" w:leader="dot" w:pos="9072"/>
        </w:tabs>
        <w:ind w:lef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HYPERLINK \l _Toc22408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附录A（资料性）  数据质量监测指标及权重设置</w:t>
      </w:r>
      <w:r>
        <w:rPr>
          <w:rFonts w:hint="eastAsia" w:ascii="宋体" w:hAnsi="宋体" w:eastAsia="宋体" w:cs="宋体"/>
          <w:color w:val="000000" w:themeColor="text1"/>
          <w:kern w:val="2"/>
          <w:sz w:val="21"/>
          <w:szCs w:val="21"/>
          <w:lang w:val="en-US" w:eastAsia="zh-CN" w:bidi="ar-SA"/>
          <w14:textFill>
            <w14:solidFill>
              <w14:schemeClr w14:val="tx1"/>
            </w14:solidFill>
          </w14:textFill>
        </w:rPr>
        <w:tab/>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PAGEREF _Toc22408 \h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7</w: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p>
    <w:p>
      <w:pPr>
        <w:pStyle w:val="275"/>
        <w:tabs>
          <w:tab w:val="right" w:leader="dot" w:pos="9072"/>
        </w:tabs>
        <w:ind w:lef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HYPERLINK \l _Toc18058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附录B（资料性）  市场主体注册登记核心数据质量规则示例</w:t>
      </w:r>
      <w:r>
        <w:rPr>
          <w:rFonts w:hint="eastAsia" w:ascii="宋体" w:hAnsi="宋体" w:eastAsia="宋体" w:cs="宋体"/>
          <w:color w:val="000000" w:themeColor="text1"/>
          <w:kern w:val="2"/>
          <w:sz w:val="21"/>
          <w:szCs w:val="21"/>
          <w:lang w:val="en-US" w:eastAsia="zh-CN" w:bidi="ar-SA"/>
          <w14:textFill>
            <w14:solidFill>
              <w14:schemeClr w14:val="tx1"/>
            </w14:solidFill>
          </w14:textFill>
        </w:rPr>
        <w:tab/>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PAGEREF _Toc18058 \h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8</w: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p>
    <w:p>
      <w:pPr>
        <w:pStyle w:val="275"/>
        <w:tabs>
          <w:tab w:val="right" w:leader="dot" w:pos="9072"/>
        </w:tabs>
        <w:ind w:lef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HYPERLINK \l _Toc11520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附录C（资料性）  数据质量评价报告</w:t>
      </w:r>
      <w:r>
        <w:rPr>
          <w:rFonts w:hint="eastAsia" w:ascii="宋体" w:hAnsi="宋体" w:eastAsia="宋体" w:cs="宋体"/>
          <w:color w:val="000000" w:themeColor="text1"/>
          <w:kern w:val="2"/>
          <w:sz w:val="21"/>
          <w:szCs w:val="21"/>
          <w:lang w:val="en-US" w:eastAsia="zh-CN" w:bidi="ar-SA"/>
          <w14:textFill>
            <w14:solidFill>
              <w14:schemeClr w14:val="tx1"/>
            </w14:solidFill>
          </w14:textFill>
        </w:rPr>
        <w:tab/>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PAGEREF _Toc11520 \h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10</w: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p>
    <w:p>
      <w:pPr>
        <w:pStyle w:val="275"/>
        <w:tabs>
          <w:tab w:val="right" w:leader="dot" w:pos="9072"/>
        </w:tabs>
        <w:ind w:lef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HYPERLINK \l _Toc9565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参考文献</w:t>
      </w:r>
      <w:r>
        <w:rPr>
          <w:rFonts w:hint="eastAsia" w:ascii="宋体" w:hAnsi="宋体" w:eastAsia="宋体" w:cs="宋体"/>
          <w:color w:val="000000" w:themeColor="text1"/>
          <w:kern w:val="2"/>
          <w:sz w:val="21"/>
          <w:szCs w:val="21"/>
          <w:lang w:val="en-US" w:eastAsia="zh-CN" w:bidi="ar-SA"/>
          <w14:textFill>
            <w14:solidFill>
              <w14:schemeClr w14:val="tx1"/>
            </w14:solidFill>
          </w14:textFill>
        </w:rPr>
        <w:tab/>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 PAGEREF _Toc9565 \h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ascii="宋体" w:hAnsi="宋体" w:eastAsia="宋体" w:cs="宋体"/>
          <w:color w:val="000000" w:themeColor="text1"/>
          <w:kern w:val="2"/>
          <w:sz w:val="21"/>
          <w:szCs w:val="21"/>
          <w:lang w:val="en-US" w:eastAsia="zh-CN" w:bidi="ar-SA"/>
          <w14:textFill>
            <w14:solidFill>
              <w14:schemeClr w14:val="tx1"/>
            </w14:solidFill>
          </w14:textFill>
        </w:rPr>
        <w:t>11</w: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end"/>
      </w:r>
    </w:p>
    <w:p>
      <w:pPr>
        <w:pStyle w:val="2"/>
        <w:spacing w:line="240" w:lineRule="auto"/>
      </w:pPr>
      <w:r>
        <w:rPr>
          <w:rFonts w:hint="eastAsia" w:ascii="宋体" w:hAnsi="宋体" w:eastAsia="宋体" w:cs="宋体"/>
        </w:rPr>
        <w:fldChar w:fldCharType="end"/>
      </w:r>
    </w:p>
    <w:p/>
    <w:p/>
    <w:p/>
    <w:p/>
    <w:p/>
    <w:p/>
    <w:p/>
    <w:p/>
    <w:p/>
    <w:p>
      <w:pPr>
        <w:tabs>
          <w:tab w:val="left" w:pos="7942"/>
        </w:tabs>
      </w:pPr>
      <w:r>
        <w:tab/>
      </w:r>
    </w:p>
    <w:p>
      <w:r>
        <w:br w:type="page"/>
      </w:r>
    </w:p>
    <w:p>
      <w:pPr>
        <w:sectPr>
          <w:headerReference r:id="rId4" w:type="default"/>
          <w:footerReference r:id="rId5" w:type="default"/>
          <w:pgSz w:w="11906" w:h="16838"/>
          <w:pgMar w:top="1417" w:right="1134" w:bottom="1134" w:left="1417" w:header="1417" w:footer="1134" w:gutter="283"/>
          <w:pgNumType w:fmt="upperRoman" w:start="1"/>
          <w:cols w:space="0" w:num="1"/>
          <w:formProt w:val="0"/>
          <w:docGrid w:type="lines" w:linePitch="317" w:charSpace="0"/>
        </w:sectPr>
      </w:pPr>
    </w:p>
    <w:p>
      <w:pPr>
        <w:keepNext w:val="0"/>
        <w:keepLines w:val="0"/>
        <w:pageBreakBefore w:val="0"/>
        <w:widowControl w:val="0"/>
        <w:shd w:val="clear"/>
        <w:kinsoku/>
        <w:wordWrap/>
        <w:overflowPunct/>
        <w:topLinePunct w:val="0"/>
        <w:autoSpaceDE/>
        <w:autoSpaceDN/>
        <w:bidi w:val="0"/>
        <w:adjustRightInd/>
        <w:snapToGrid w:val="0"/>
        <w:spacing w:before="567" w:after="680"/>
        <w:ind w:firstLine="0" w:firstLineChars="0"/>
        <w:jc w:val="center"/>
        <w:textAlignment w:val="auto"/>
        <w:outlineLvl w:val="0"/>
        <w:rPr>
          <w:rFonts w:hint="eastAsia" w:ascii="黑体" w:hAnsi="黑体" w:eastAsia="黑体" w:cs="黑体"/>
          <w:kern w:val="0"/>
          <w:sz w:val="32"/>
          <w:szCs w:val="32"/>
          <w:lang w:val="en-US" w:eastAsia="zh-CN"/>
        </w:rPr>
      </w:pPr>
      <w:bookmarkStart w:id="1" w:name="_Toc169534503"/>
      <w:bookmarkStart w:id="2" w:name="_Toc181957949"/>
      <w:bookmarkStart w:id="3" w:name="_Toc25263"/>
      <w:r>
        <w:rPr>
          <w:rFonts w:hint="eastAsia" w:ascii="黑体" w:hAnsi="黑体" w:eastAsia="黑体" w:cs="黑体"/>
          <w:kern w:val="0"/>
          <w:sz w:val="32"/>
          <w:szCs w:val="32"/>
          <w:lang w:val="en-US" w:eastAsia="zh-CN"/>
        </w:rPr>
        <w:t>前    言</w:t>
      </w:r>
      <w:bookmarkEnd w:id="1"/>
      <w:bookmarkEnd w:id="2"/>
      <w:bookmarkEnd w:id="3"/>
    </w:p>
    <w:p>
      <w:pPr>
        <w:pStyle w:val="63"/>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本文件按照GB/T 1.1—2020《标准化工作导则  第1部分：标准化文件的结构和起草规则》的规定起草。</w:t>
      </w:r>
    </w:p>
    <w:p>
      <w:pPr>
        <w:pStyle w:val="63"/>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请注意本文件</w:t>
      </w:r>
      <w:r>
        <w:rPr>
          <w:color w:val="000000" w:themeColor="text1"/>
          <w14:textFill>
            <w14:solidFill>
              <w14:schemeClr w14:val="tx1"/>
            </w14:solidFill>
          </w14:textFill>
        </w:rPr>
        <w:t>的某些内容可能涉及专利。本文件</w:t>
      </w:r>
      <w:r>
        <w:rPr>
          <w:rFonts w:hint="eastAsia"/>
          <w:color w:val="000000" w:themeColor="text1"/>
          <w14:textFill>
            <w14:solidFill>
              <w14:schemeClr w14:val="tx1"/>
            </w14:solidFill>
          </w14:textFill>
        </w:rPr>
        <w:t>的</w:t>
      </w:r>
      <w:r>
        <w:rPr>
          <w:color w:val="000000" w:themeColor="text1"/>
          <w14:textFill>
            <w14:solidFill>
              <w14:schemeClr w14:val="tx1"/>
            </w14:solidFill>
          </w14:textFill>
        </w:rPr>
        <w:t>发布机构不承担识别专利的责任。</w:t>
      </w:r>
    </w:p>
    <w:p>
      <w:pPr>
        <w:pStyle w:val="63"/>
        <w:ind w:firstLine="420"/>
        <w:rPr>
          <w:color w:val="000000" w:themeColor="text1"/>
          <w:highlight w:val="none"/>
          <w14:textFill>
            <w14:solidFill>
              <w14:schemeClr w14:val="tx1"/>
            </w14:solidFill>
          </w14:textFill>
        </w:rPr>
      </w:pPr>
      <w:r>
        <w:rPr>
          <w:rFonts w:hint="eastAsia" w:ascii="FangSong_GB2312"/>
          <w:snapToGrid w:val="0"/>
          <w:color w:val="000000"/>
          <w:highlight w:val="none"/>
        </w:rPr>
        <w:t>本文件由苏州市市场监督管理局提出</w:t>
      </w:r>
      <w:r>
        <w:rPr>
          <w:rFonts w:hint="eastAsia" w:ascii="FangSong_GB2312"/>
          <w:snapToGrid w:val="0"/>
          <w:color w:val="000000"/>
          <w:highlight w:val="none"/>
          <w:lang w:eastAsia="zh-CN"/>
        </w:rPr>
        <w:t>、</w:t>
      </w:r>
      <w:r>
        <w:rPr>
          <w:rFonts w:hint="eastAsia" w:ascii="FangSong_GB2312"/>
          <w:snapToGrid w:val="0"/>
          <w:color w:val="000000"/>
          <w:highlight w:val="none"/>
        </w:rPr>
        <w:t>归口</w:t>
      </w:r>
      <w:r>
        <w:rPr>
          <w:rFonts w:hint="eastAsia" w:ascii="FangSong_GB2312"/>
          <w:snapToGrid w:val="0"/>
          <w:color w:val="000000"/>
          <w:highlight w:val="none"/>
          <w:lang w:val="en-US" w:eastAsia="zh-CN"/>
        </w:rPr>
        <w:t>并组织实施</w:t>
      </w:r>
      <w:r>
        <w:rPr>
          <w:rFonts w:hint="eastAsia"/>
          <w:color w:val="000000" w:themeColor="text1"/>
          <w:highlight w:val="none"/>
          <w14:textFill>
            <w14:solidFill>
              <w14:schemeClr w14:val="tx1"/>
            </w14:solidFill>
          </w14:textFill>
        </w:rPr>
        <w:t>。</w:t>
      </w:r>
    </w:p>
    <w:p>
      <w:pPr>
        <w:pStyle w:val="63"/>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本文件起草单位：苏州市市场监督管理信息中心、苏州市质量和标准化院、苏州龙石信息科技有限公司。</w:t>
      </w:r>
    </w:p>
    <w:p>
      <w:pPr>
        <w:pStyle w:val="63"/>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本文件主要起草人：陈亮亮、苏循进、顾一清、陆志晗、周文渊、戈泽友、练海荣、孙晓宁、杨毓慧、张未来。</w:t>
      </w: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ind w:right="420"/>
      </w:pPr>
    </w:p>
    <w:p>
      <w:pPr>
        <w:pStyle w:val="2"/>
      </w:pPr>
    </w:p>
    <w:p>
      <w:r>
        <w:br w:type="page"/>
      </w:r>
    </w:p>
    <w:p>
      <w:pPr>
        <w:pStyle w:val="2"/>
        <w:sectPr>
          <w:headerReference r:id="rId6" w:type="default"/>
          <w:footerReference r:id="rId8" w:type="default"/>
          <w:headerReference r:id="rId7" w:type="even"/>
          <w:footerReference r:id="rId9" w:type="even"/>
          <w:pgSz w:w="11906" w:h="16838"/>
          <w:pgMar w:top="1417" w:right="1134" w:bottom="1134" w:left="1417" w:header="1417" w:footer="1134" w:gutter="283"/>
          <w:pgNumType w:fmt="upperRoman" w:start="2"/>
          <w:cols w:space="0" w:num="1"/>
          <w:formProt w:val="0"/>
          <w:docGrid w:type="lines" w:linePitch="317" w:charSpace="0"/>
        </w:sectPr>
      </w:pPr>
    </w:p>
    <w:bookmarkEnd w:id="0"/>
    <w:p>
      <w:pPr>
        <w:spacing w:line="20" w:lineRule="exact"/>
        <w:jc w:val="center"/>
        <w:rPr>
          <w:rFonts w:ascii="黑体" w:hAnsi="黑体" w:eastAsia="黑体"/>
          <w:color w:val="000000" w:themeColor="text1"/>
          <w:sz w:val="32"/>
          <w:szCs w:val="32"/>
          <w14:textFill>
            <w14:solidFill>
              <w14:schemeClr w14:val="tx1"/>
            </w14:solidFill>
          </w14:textFill>
        </w:rPr>
      </w:pPr>
      <w:bookmarkStart w:id="4" w:name="BookMark4"/>
    </w:p>
    <w:p>
      <w:pPr>
        <w:spacing w:line="20" w:lineRule="exact"/>
        <w:jc w:val="center"/>
        <w:rPr>
          <w:rFonts w:ascii="黑体" w:hAnsi="黑体" w:eastAsia="黑体"/>
          <w:color w:val="000000" w:themeColor="text1"/>
          <w:sz w:val="32"/>
          <w:szCs w:val="32"/>
          <w14:textFill>
            <w14:solidFill>
              <w14:schemeClr w14:val="tx1"/>
            </w14:solidFill>
          </w14:textFill>
        </w:rPr>
      </w:pPr>
    </w:p>
    <w:sdt>
      <w:sdtPr>
        <w:rPr>
          <w:color w:val="000000" w:themeColor="text1"/>
          <w14:textFill>
            <w14:solidFill>
              <w14:schemeClr w14:val="tx1"/>
            </w14:solidFill>
          </w14:textFill>
        </w:rPr>
        <w:tag w:val="NEW_STAND_NAME"/>
        <w:id w:val="595910757"/>
        <w:lock w:val="sdtLocked"/>
        <w:placeholder>
          <w:docPart w:val="A9F5EF66112D40978DBD57B6750CCA15"/>
        </w:placeholder>
      </w:sdtPr>
      <w:sdtEndPr>
        <w:rPr>
          <w:color w:val="000000" w:themeColor="text1"/>
          <w14:textFill>
            <w14:solidFill>
              <w14:schemeClr w14:val="tx1"/>
            </w14:solidFill>
          </w14:textFill>
        </w:rPr>
      </w:sdtEndPr>
      <w:sdtContent>
        <w:p>
          <w:pPr>
            <w:pStyle w:val="184"/>
            <w:spacing w:before="567" w:after="680" w:line="240" w:lineRule="auto"/>
            <w:rPr>
              <w:color w:val="000000" w:themeColor="text1"/>
              <w14:textFill>
                <w14:solidFill>
                  <w14:schemeClr w14:val="tx1"/>
                </w14:solidFill>
              </w14:textFill>
            </w:rPr>
          </w:pPr>
          <w:bookmarkStart w:id="5" w:name="NEW_STAND_NAME"/>
          <w:r>
            <w:rPr>
              <w:rFonts w:hint="eastAsia"/>
              <w:snapToGrid w:val="0"/>
              <w:color w:val="000000"/>
              <w:kern w:val="0"/>
            </w:rPr>
            <w:t xml:space="preserve">数字政府 </w:t>
          </w:r>
          <w:r>
            <w:rPr>
              <w:rFonts w:hint="eastAsia"/>
              <w:snapToGrid w:val="0"/>
              <w:color w:val="000000"/>
              <w:kern w:val="0"/>
              <w:lang w:val="en-US" w:eastAsia="zh-CN"/>
            </w:rPr>
            <w:t xml:space="preserve"> </w:t>
          </w:r>
          <w:r>
            <w:rPr>
              <w:rFonts w:hint="eastAsia"/>
              <w:snapToGrid w:val="0"/>
              <w:color w:val="000000"/>
              <w:kern w:val="0"/>
            </w:rPr>
            <w:t>市场监管数据质量监测规范</w:t>
          </w:r>
        </w:p>
      </w:sdtContent>
    </w:sdt>
    <w:bookmarkEnd w:id="5"/>
    <w:p>
      <w:pPr>
        <w:pStyle w:val="111"/>
        <w:spacing w:before="317" w:after="317"/>
        <w:rPr>
          <w:color w:val="000000" w:themeColor="text1"/>
          <w14:textFill>
            <w14:solidFill>
              <w14:schemeClr w14:val="tx1"/>
            </w14:solidFill>
          </w14:textFill>
        </w:rPr>
      </w:pPr>
      <w:bookmarkStart w:id="6" w:name="_Toc26718930"/>
      <w:bookmarkStart w:id="7" w:name="_Toc24884211"/>
      <w:bookmarkStart w:id="8" w:name="_Toc17233325"/>
      <w:bookmarkStart w:id="9" w:name="_Toc138255950"/>
      <w:bookmarkStart w:id="10" w:name="_Toc26648465"/>
      <w:bookmarkStart w:id="11" w:name="_Toc108611326"/>
      <w:bookmarkStart w:id="12" w:name="_Toc17233333"/>
      <w:bookmarkStart w:id="13" w:name="_Toc181957950"/>
      <w:bookmarkStart w:id="14" w:name="_Toc26986771"/>
      <w:bookmarkStart w:id="15" w:name="_Toc14375"/>
      <w:bookmarkStart w:id="16" w:name="_Toc26986530"/>
      <w:bookmarkStart w:id="17" w:name="_Toc169534504"/>
      <w:bookmarkStart w:id="18" w:name="_Toc97191423"/>
      <w:bookmarkStart w:id="19" w:name="_Toc24884218"/>
      <w:r>
        <w:rPr>
          <w:rFonts w:hint="eastAsia"/>
          <w:color w:val="000000" w:themeColor="text1"/>
          <w14:textFill>
            <w14:solidFill>
              <w14:schemeClr w14:val="tx1"/>
            </w14:solidFill>
          </w14:textFill>
        </w:rPr>
        <w:t>范围</w:t>
      </w:r>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63"/>
        <w:ind w:firstLine="420"/>
        <w:rPr>
          <w:color w:val="000000" w:themeColor="text1"/>
          <w14:textFill>
            <w14:solidFill>
              <w14:schemeClr w14:val="tx1"/>
            </w14:solidFill>
          </w14:textFill>
        </w:rPr>
      </w:pPr>
      <w:r>
        <w:rPr>
          <w:rFonts w:hint="eastAsia" w:ascii="FangSong_GB2312"/>
          <w:snapToGrid w:val="0"/>
          <w:color w:val="000000"/>
        </w:rPr>
        <w:t>本文件规定了市场监管数据质量监测的基本原则、监测方法及方式、监测指标、监测流程及要求等相关内容</w:t>
      </w:r>
      <w:r>
        <w:rPr>
          <w:rFonts w:hint="eastAsia"/>
          <w:color w:val="000000" w:themeColor="text1"/>
          <w14:textFill>
            <w14:solidFill>
              <w14:schemeClr w14:val="tx1"/>
            </w14:solidFill>
          </w14:textFill>
        </w:rPr>
        <w:t>。</w:t>
      </w:r>
    </w:p>
    <w:p>
      <w:pPr>
        <w:pStyle w:val="63"/>
        <w:ind w:firstLine="420"/>
        <w:rPr>
          <w:rFonts w:ascii="FangSong_GB2312"/>
          <w:snapToGrid w:val="0"/>
          <w:color w:val="000000"/>
        </w:rPr>
      </w:pPr>
      <w:r>
        <w:rPr>
          <w:rFonts w:hint="eastAsia" w:ascii="FangSong_GB2312"/>
          <w:snapToGrid w:val="0"/>
          <w:color w:val="000000"/>
        </w:rPr>
        <w:t>本文件适用于市场监管数据采集、汇聚、应用等环节中的质量监测和管理工作。</w:t>
      </w:r>
    </w:p>
    <w:p>
      <w:pPr>
        <w:pStyle w:val="111"/>
        <w:spacing w:before="317" w:after="317"/>
        <w:rPr>
          <w:color w:val="000000" w:themeColor="text1"/>
          <w14:textFill>
            <w14:solidFill>
              <w14:schemeClr w14:val="tx1"/>
            </w14:solidFill>
          </w14:textFill>
        </w:rPr>
      </w:pPr>
      <w:bookmarkStart w:id="20" w:name="_Toc26986531"/>
      <w:bookmarkStart w:id="21" w:name="_Toc108611327"/>
      <w:bookmarkStart w:id="22" w:name="_Toc26648466"/>
      <w:bookmarkStart w:id="23" w:name="_Toc97191424"/>
      <w:bookmarkStart w:id="24" w:name="_Toc17233334"/>
      <w:bookmarkStart w:id="25" w:name="_Toc24884219"/>
      <w:bookmarkStart w:id="26" w:name="_Toc17233326"/>
      <w:bookmarkStart w:id="27" w:name="_Toc24884212"/>
      <w:bookmarkStart w:id="28" w:name="_Toc26986772"/>
      <w:bookmarkStart w:id="29" w:name="_Toc181957951"/>
      <w:bookmarkStart w:id="30" w:name="_Toc138255951"/>
      <w:bookmarkStart w:id="31" w:name="_Toc26718931"/>
      <w:bookmarkStart w:id="32" w:name="_Toc28357"/>
      <w:bookmarkStart w:id="33" w:name="_Toc169534505"/>
      <w:r>
        <w:rPr>
          <w:rFonts w:hint="eastAsia"/>
          <w:color w:val="000000" w:themeColor="text1"/>
          <w14:textFill>
            <w14:solidFill>
              <w14:schemeClr w14:val="tx1"/>
            </w14:solidFill>
          </w14:textFill>
        </w:rPr>
        <w:t>规范性引用文件</w:t>
      </w:r>
      <w:bookmarkEnd w:id="20"/>
      <w:bookmarkEnd w:id="21"/>
      <w:bookmarkEnd w:id="22"/>
      <w:bookmarkEnd w:id="23"/>
      <w:bookmarkEnd w:id="24"/>
      <w:bookmarkEnd w:id="25"/>
      <w:bookmarkEnd w:id="26"/>
      <w:bookmarkEnd w:id="27"/>
      <w:bookmarkEnd w:id="28"/>
      <w:bookmarkEnd w:id="29"/>
      <w:bookmarkEnd w:id="30"/>
      <w:bookmarkEnd w:id="31"/>
      <w:bookmarkEnd w:id="32"/>
      <w:bookmarkEnd w:id="33"/>
    </w:p>
    <w:sdt>
      <w:sdtPr>
        <w:rPr>
          <w:rFonts w:hint="eastAsia"/>
          <w:color w:val="000000" w:themeColor="text1"/>
          <w14:textFill>
            <w14:solidFill>
              <w14:schemeClr w14:val="tx1"/>
            </w14:solidFill>
          </w14:textFill>
        </w:rPr>
        <w:id w:val="715848253"/>
        <w:placeholder>
          <w:docPart w:val="A062B073CBAC4E68812BD73339A0FA4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pPr>
            <w:pStyle w:val="63"/>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3"/>
        <w:ind w:firstLine="420"/>
      </w:pPr>
      <w:bookmarkStart w:id="34" w:name="_Toc97191425"/>
      <w:bookmarkStart w:id="35" w:name="_Toc108611328"/>
      <w:r>
        <w:rPr>
          <w:rFonts w:hint="eastAsia"/>
        </w:rPr>
        <w:t>GB/T 36344</w:t>
      </w:r>
      <w:r>
        <w:rPr>
          <w:rFonts w:ascii="宋体" w:hAnsi="宋体" w:eastAsia="宋体" w:cs="宋体"/>
          <w:kern w:val="0"/>
          <w:szCs w:val="21"/>
        </w:rPr>
        <w:t>—</w:t>
      </w:r>
      <w:r>
        <w:t>2018</w:t>
      </w:r>
      <w:r>
        <w:rPr>
          <w:rFonts w:hint="eastAsia"/>
        </w:rPr>
        <w:t xml:space="preserve"> </w:t>
      </w:r>
      <w:r>
        <w:rPr>
          <w:rFonts w:hint="eastAsia"/>
          <w:lang w:val="en-US" w:eastAsia="zh-CN"/>
        </w:rPr>
        <w:t xml:space="preserve"> </w:t>
      </w:r>
      <w:r>
        <w:rPr>
          <w:rFonts w:hint="eastAsia"/>
        </w:rPr>
        <w:t>信息技术 数据质量评价指标</w:t>
      </w:r>
    </w:p>
    <w:p>
      <w:pPr>
        <w:pStyle w:val="111"/>
        <w:spacing w:before="317" w:after="317"/>
        <w:rPr>
          <w:color w:val="000000" w:themeColor="text1"/>
          <w14:textFill>
            <w14:solidFill>
              <w14:schemeClr w14:val="tx1"/>
            </w14:solidFill>
          </w14:textFill>
        </w:rPr>
      </w:pPr>
      <w:bookmarkStart w:id="36" w:name="_Toc138255952"/>
      <w:bookmarkStart w:id="37" w:name="_Toc181957952"/>
      <w:bookmarkStart w:id="38" w:name="_Toc27852"/>
      <w:bookmarkStart w:id="39" w:name="_Toc169534506"/>
      <w:r>
        <w:rPr>
          <w:rFonts w:hint="eastAsia"/>
          <w:color w:val="000000" w:themeColor="text1"/>
          <w:szCs w:val="21"/>
          <w14:textFill>
            <w14:solidFill>
              <w14:schemeClr w14:val="tx1"/>
            </w14:solidFill>
          </w14:textFill>
        </w:rPr>
        <w:t>术语和定义</w:t>
      </w:r>
      <w:bookmarkEnd w:id="34"/>
      <w:bookmarkEnd w:id="35"/>
      <w:bookmarkEnd w:id="36"/>
      <w:bookmarkEnd w:id="37"/>
      <w:bookmarkEnd w:id="38"/>
      <w:bookmarkEnd w:id="39"/>
    </w:p>
    <w:p>
      <w:pPr>
        <w:pStyle w:val="230"/>
        <w:numPr>
          <w:ilvl w:val="0"/>
          <w:numId w:val="0"/>
        </w:numPr>
        <w:ind w:firstLine="420" w:firstLineChars="200"/>
        <w:rPr>
          <w:rFonts w:ascii="FangSong_GB2312"/>
        </w:rPr>
      </w:pPr>
      <w:bookmarkStart w:id="40" w:name="_Toc26986532"/>
      <w:bookmarkEnd w:id="40"/>
      <w:sdt>
        <w:sdtPr>
          <w:rPr>
            <w:rFonts w:hint="eastAsia"/>
          </w:rPr>
          <w:id w:val="-1909835108"/>
          <w:placeholder>
            <w:docPart w:val="A6A088EC6EF641EAB9610CE1CCB9E96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r>
            <w:rPr>
              <w:rFonts w:hint="eastAsia"/>
            </w:rPr>
            <w:t>GB</w:t>
          </w:r>
          <w:r>
            <w:t>/T 35295</w:t>
          </w:r>
          <w:r>
            <w:rPr>
              <w:rFonts w:hint="eastAsia"/>
            </w:rPr>
            <w:t>、</w:t>
          </w:r>
          <w:r>
            <w:t>GB/T 36073</w:t>
          </w:r>
          <w:r>
            <w:rPr>
              <w:rFonts w:hint="eastAsia"/>
            </w:rPr>
            <w:t>、GB/T 36344</w:t>
          </w:r>
          <w:r>
            <w:t>-2018</w:t>
          </w:r>
          <w:r>
            <w:rPr>
              <w:rFonts w:hint="eastAsia"/>
            </w:rPr>
            <w:t>界定的以及下列术语和定义适用于本文件。</w:t>
          </w:r>
        </w:sdtContent>
      </w:sdt>
      <w:bookmarkStart w:id="41" w:name="_Toc108611329"/>
    </w:p>
    <w:p>
      <w:pPr>
        <w:pStyle w:val="230"/>
        <w:ind w:left="428" w:hanging="421" w:hangingChars="200"/>
        <w:rPr>
          <w:rFonts w:ascii="黑体" w:hAnsi="黑体" w:eastAsia="黑体"/>
          <w:b/>
          <w:snapToGrid w:val="0"/>
        </w:rPr>
      </w:pPr>
    </w:p>
    <w:p>
      <w:pPr>
        <w:pStyle w:val="230"/>
        <w:numPr>
          <w:ilvl w:val="0"/>
          <w:numId w:val="0"/>
        </w:numPr>
        <w:ind w:firstLine="420"/>
        <w:rPr>
          <w:rFonts w:ascii="黑体" w:hAnsi="黑体" w:eastAsia="黑体"/>
          <w:snapToGrid w:val="0"/>
        </w:rPr>
      </w:pPr>
      <w:r>
        <w:rPr>
          <w:rFonts w:hint="eastAsia" w:ascii="黑体" w:hAnsi="黑体" w:eastAsia="黑体"/>
          <w:snapToGrid w:val="0"/>
        </w:rPr>
        <w:t>数据质量规则</w:t>
      </w:r>
      <w:r>
        <w:rPr>
          <w:rFonts w:ascii="黑体" w:hAnsi="黑体" w:eastAsia="黑体"/>
          <w:snapToGrid w:val="0"/>
        </w:rPr>
        <w:t xml:space="preserve"> </w:t>
      </w:r>
      <w:r>
        <w:rPr>
          <w:rFonts w:hint="eastAsia" w:ascii="黑体" w:hAnsi="黑体" w:eastAsia="黑体"/>
          <w:snapToGrid w:val="0"/>
          <w:lang w:val="en-US" w:eastAsia="zh-CN"/>
        </w:rPr>
        <w:t xml:space="preserve"> </w:t>
      </w:r>
      <w:r>
        <w:rPr>
          <w:rFonts w:ascii="黑体" w:hAnsi="黑体" w:eastAsia="黑体"/>
          <w:snapToGrid w:val="0"/>
        </w:rPr>
        <w:t>data quality rule</w:t>
      </w:r>
    </w:p>
    <w:p>
      <w:pPr>
        <w:pStyle w:val="63"/>
        <w:ind w:firstLine="420"/>
        <w:rPr>
          <w:rFonts w:ascii="FangSong_GB2312"/>
        </w:rPr>
      </w:pPr>
      <w:r>
        <w:rPr>
          <w:rFonts w:hint="eastAsia" w:ascii="FangSong_GB2312"/>
        </w:rPr>
        <w:t>判断数据是否符合数据质量要求的逻辑约束。</w:t>
      </w:r>
    </w:p>
    <w:p>
      <w:pPr>
        <w:pStyle w:val="230"/>
        <w:ind w:left="428" w:hanging="421" w:hangingChars="200"/>
        <w:rPr>
          <w:rFonts w:ascii="黑体" w:hAnsi="黑体" w:eastAsia="黑体"/>
          <w:b/>
          <w:snapToGrid w:val="0"/>
        </w:rPr>
      </w:pPr>
    </w:p>
    <w:p>
      <w:pPr>
        <w:pStyle w:val="230"/>
        <w:numPr>
          <w:ilvl w:val="0"/>
          <w:numId w:val="0"/>
        </w:numPr>
        <w:ind w:firstLine="420"/>
        <w:rPr>
          <w:rFonts w:ascii="黑体" w:hAnsi="黑体" w:eastAsia="黑体"/>
          <w:snapToGrid w:val="0"/>
        </w:rPr>
      </w:pPr>
      <w:r>
        <w:rPr>
          <w:rFonts w:hint="eastAsia" w:ascii="黑体" w:hAnsi="黑体" w:eastAsia="黑体"/>
          <w:snapToGrid w:val="0"/>
        </w:rPr>
        <w:t xml:space="preserve">数据质量监测 </w:t>
      </w:r>
      <w:r>
        <w:rPr>
          <w:rFonts w:hint="eastAsia" w:ascii="黑体" w:hAnsi="黑体" w:eastAsia="黑体"/>
          <w:snapToGrid w:val="0"/>
          <w:lang w:val="en-US" w:eastAsia="zh-CN"/>
        </w:rPr>
        <w:t xml:space="preserve"> </w:t>
      </w:r>
      <w:r>
        <w:rPr>
          <w:rFonts w:ascii="黑体" w:hAnsi="黑体" w:eastAsia="黑体"/>
          <w:snapToGrid w:val="0"/>
        </w:rPr>
        <w:t>data quality monitoring</w:t>
      </w:r>
    </w:p>
    <w:p>
      <w:pPr>
        <w:pStyle w:val="63"/>
        <w:ind w:firstLine="420"/>
        <w:rPr>
          <w:rFonts w:ascii="FangSong_GB2312"/>
        </w:rPr>
      </w:pPr>
      <w:r>
        <w:rPr>
          <w:rFonts w:hint="eastAsia" w:ascii="FangSong_GB2312"/>
        </w:rPr>
        <w:t>根据数据质量监测指标，对数据及其工作进行判断和分析，识别数据质量问题并进行全流程管理和评价的过程。</w:t>
      </w:r>
    </w:p>
    <w:p>
      <w:pPr>
        <w:pStyle w:val="230"/>
        <w:ind w:left="428" w:hanging="421" w:hangingChars="200"/>
        <w:rPr>
          <w:rFonts w:ascii="黑体" w:hAnsi="黑体" w:eastAsia="黑体"/>
          <w:b/>
          <w:snapToGrid w:val="0"/>
        </w:rPr>
      </w:pPr>
    </w:p>
    <w:p>
      <w:pPr>
        <w:pStyle w:val="230"/>
        <w:numPr>
          <w:ilvl w:val="0"/>
          <w:numId w:val="0"/>
        </w:numPr>
        <w:ind w:firstLine="420"/>
        <w:rPr>
          <w:rFonts w:ascii="黑体" w:hAnsi="黑体" w:eastAsia="黑体"/>
          <w:snapToGrid w:val="0"/>
        </w:rPr>
      </w:pPr>
      <w:r>
        <w:rPr>
          <w:rFonts w:hint="eastAsia" w:ascii="黑体" w:hAnsi="黑体" w:eastAsia="黑体"/>
          <w:snapToGrid w:val="0"/>
        </w:rPr>
        <w:t>数据责任机构</w:t>
      </w:r>
      <w:r>
        <w:rPr>
          <w:rFonts w:ascii="黑体" w:hAnsi="黑体" w:eastAsia="黑体"/>
          <w:snapToGrid w:val="0"/>
        </w:rPr>
        <w:t xml:space="preserve"> </w:t>
      </w:r>
      <w:r>
        <w:rPr>
          <w:rFonts w:hint="eastAsia" w:ascii="黑体" w:hAnsi="黑体" w:eastAsia="黑体"/>
          <w:snapToGrid w:val="0"/>
          <w:lang w:val="en-US" w:eastAsia="zh-CN"/>
        </w:rPr>
        <w:t xml:space="preserve"> </w:t>
      </w:r>
      <w:r>
        <w:rPr>
          <w:rFonts w:hint="eastAsia" w:ascii="黑体" w:hAnsi="黑体" w:eastAsia="黑体"/>
          <w:snapToGrid w:val="0"/>
        </w:rPr>
        <w:t>d</w:t>
      </w:r>
      <w:r>
        <w:rPr>
          <w:rFonts w:ascii="黑体" w:hAnsi="黑体" w:eastAsia="黑体"/>
          <w:snapToGrid w:val="0"/>
        </w:rPr>
        <w:t>ata responsible organization</w:t>
      </w:r>
    </w:p>
    <w:p>
      <w:pPr>
        <w:pStyle w:val="63"/>
        <w:ind w:firstLine="420"/>
        <w:rPr>
          <w:rFonts w:ascii="FangSong_GB2312"/>
        </w:rPr>
      </w:pPr>
      <w:r>
        <w:rPr>
          <w:rFonts w:hint="eastAsia" w:ascii="FangSong_GB2312"/>
        </w:rPr>
        <w:t>负责数据采集和加工工作的组织。</w:t>
      </w:r>
    </w:p>
    <w:p>
      <w:pPr>
        <w:pStyle w:val="230"/>
        <w:ind w:left="428" w:hanging="421" w:hangingChars="200"/>
        <w:rPr>
          <w:rFonts w:ascii="黑体" w:hAnsi="黑体" w:eastAsia="黑体"/>
          <w:b/>
          <w:snapToGrid w:val="0"/>
        </w:rPr>
      </w:pPr>
    </w:p>
    <w:p>
      <w:pPr>
        <w:pStyle w:val="230"/>
        <w:numPr>
          <w:ilvl w:val="0"/>
          <w:numId w:val="0"/>
        </w:numPr>
        <w:ind w:firstLine="420"/>
        <w:rPr>
          <w:rFonts w:ascii="黑体" w:hAnsi="黑体" w:eastAsia="黑体"/>
          <w:snapToGrid w:val="0"/>
        </w:rPr>
      </w:pPr>
      <w:r>
        <w:rPr>
          <w:rFonts w:hint="eastAsia" w:ascii="黑体" w:hAnsi="黑体" w:eastAsia="黑体"/>
          <w:snapToGrid w:val="0"/>
        </w:rPr>
        <w:t>数据质量监测机构</w:t>
      </w:r>
      <w:r>
        <w:rPr>
          <w:rFonts w:ascii="黑体" w:hAnsi="黑体" w:eastAsia="黑体"/>
          <w:snapToGrid w:val="0"/>
        </w:rPr>
        <w:t xml:space="preserve"> </w:t>
      </w:r>
      <w:r>
        <w:rPr>
          <w:rFonts w:hint="eastAsia" w:ascii="黑体" w:hAnsi="黑体" w:eastAsia="黑体"/>
          <w:snapToGrid w:val="0"/>
          <w:lang w:val="en-US" w:eastAsia="zh-CN"/>
        </w:rPr>
        <w:t xml:space="preserve"> </w:t>
      </w:r>
      <w:r>
        <w:rPr>
          <w:rFonts w:hint="eastAsia" w:ascii="黑体" w:hAnsi="黑体" w:eastAsia="黑体"/>
          <w:snapToGrid w:val="0"/>
        </w:rPr>
        <w:t>d</w:t>
      </w:r>
      <w:r>
        <w:rPr>
          <w:rFonts w:ascii="黑体" w:hAnsi="黑体" w:eastAsia="黑体"/>
          <w:snapToGrid w:val="0"/>
        </w:rPr>
        <w:t>ata q</w:t>
      </w:r>
      <w:r>
        <w:rPr>
          <w:rFonts w:hint="eastAsia" w:ascii="黑体" w:hAnsi="黑体" w:eastAsia="黑体"/>
          <w:snapToGrid w:val="0"/>
        </w:rPr>
        <w:t>uality</w:t>
      </w:r>
      <w:r>
        <w:rPr>
          <w:rFonts w:ascii="黑体" w:hAnsi="黑体" w:eastAsia="黑体"/>
          <w:snapToGrid w:val="0"/>
        </w:rPr>
        <w:t xml:space="preserve"> monitoring organization</w:t>
      </w:r>
    </w:p>
    <w:p>
      <w:pPr>
        <w:pStyle w:val="63"/>
        <w:ind w:firstLine="420"/>
        <w:rPr>
          <w:rFonts w:ascii="FangSong_GB2312"/>
        </w:rPr>
      </w:pPr>
      <w:r>
        <w:rPr>
          <w:rFonts w:hint="eastAsia" w:ascii="FangSong_GB2312"/>
        </w:rPr>
        <w:t>负责数据统筹管理和质量监测工作的组织。</w:t>
      </w:r>
    </w:p>
    <w:p>
      <w:pPr>
        <w:pStyle w:val="230"/>
        <w:rPr>
          <w:snapToGrid w:val="0"/>
        </w:rPr>
      </w:pPr>
    </w:p>
    <w:p>
      <w:pPr>
        <w:pStyle w:val="230"/>
        <w:numPr>
          <w:ilvl w:val="0"/>
          <w:numId w:val="0"/>
        </w:numPr>
        <w:ind w:firstLine="420"/>
        <w:rPr>
          <w:rFonts w:ascii="黑体" w:hAnsi="黑体" w:eastAsia="黑体"/>
          <w:snapToGrid w:val="0"/>
        </w:rPr>
      </w:pPr>
      <w:r>
        <w:rPr>
          <w:rFonts w:hint="eastAsia" w:ascii="黑体" w:hAnsi="黑体" w:eastAsia="黑体"/>
          <w:snapToGrid w:val="0"/>
        </w:rPr>
        <w:t xml:space="preserve">数据更正 </w:t>
      </w:r>
      <w:r>
        <w:rPr>
          <w:rFonts w:hint="eastAsia" w:ascii="黑体" w:hAnsi="黑体" w:eastAsia="黑体"/>
          <w:snapToGrid w:val="0"/>
          <w:lang w:val="en-US" w:eastAsia="zh-CN"/>
        </w:rPr>
        <w:t xml:space="preserve"> </w:t>
      </w:r>
      <w:r>
        <w:rPr>
          <w:rFonts w:ascii="黑体" w:hAnsi="黑体" w:eastAsia="黑体"/>
          <w:snapToGrid w:val="0"/>
        </w:rPr>
        <w:t>data correcting</w:t>
      </w:r>
    </w:p>
    <w:p>
      <w:pPr>
        <w:pStyle w:val="63"/>
        <w:ind w:firstLine="420"/>
        <w:rPr>
          <w:rFonts w:ascii="FangSong_GB2312"/>
        </w:rPr>
      </w:pPr>
      <w:r>
        <w:rPr>
          <w:rFonts w:hint="eastAsia" w:ascii="FangSong_GB2312"/>
        </w:rPr>
        <w:t>对已经采集的错误数据字段状态或属性进行修改或更新操作的行为。</w:t>
      </w:r>
    </w:p>
    <w:p>
      <w:pPr>
        <w:pStyle w:val="230"/>
        <w:ind w:left="428" w:hanging="421" w:hangingChars="200"/>
        <w:rPr>
          <w:rFonts w:ascii="黑体" w:hAnsi="黑体" w:eastAsia="黑体"/>
          <w:b/>
          <w:snapToGrid w:val="0"/>
        </w:rPr>
      </w:pPr>
    </w:p>
    <w:p>
      <w:pPr>
        <w:pStyle w:val="230"/>
        <w:numPr>
          <w:ilvl w:val="0"/>
          <w:numId w:val="0"/>
        </w:numPr>
        <w:ind w:firstLine="420"/>
        <w:rPr>
          <w:rFonts w:ascii="黑体" w:hAnsi="黑体" w:eastAsia="黑体"/>
          <w:snapToGrid w:val="0"/>
        </w:rPr>
      </w:pPr>
      <w:r>
        <w:rPr>
          <w:rFonts w:hint="eastAsia" w:ascii="黑体" w:hAnsi="黑体" w:eastAsia="黑体"/>
          <w:snapToGrid w:val="0"/>
        </w:rPr>
        <w:t>数据质量治理</w:t>
      </w:r>
      <w:r>
        <w:rPr>
          <w:rFonts w:ascii="黑体" w:hAnsi="黑体" w:eastAsia="黑体"/>
          <w:snapToGrid w:val="0"/>
        </w:rPr>
        <w:t xml:space="preserve"> </w:t>
      </w:r>
      <w:r>
        <w:rPr>
          <w:rFonts w:hint="eastAsia" w:ascii="黑体" w:hAnsi="黑体" w:eastAsia="黑体"/>
          <w:snapToGrid w:val="0"/>
          <w:lang w:val="en-US" w:eastAsia="zh-CN"/>
        </w:rPr>
        <w:t xml:space="preserve"> </w:t>
      </w:r>
      <w:r>
        <w:rPr>
          <w:rFonts w:hint="eastAsia" w:ascii="黑体" w:hAnsi="黑体" w:eastAsia="黑体"/>
          <w:snapToGrid w:val="0"/>
        </w:rPr>
        <w:t>d</w:t>
      </w:r>
      <w:r>
        <w:rPr>
          <w:rFonts w:ascii="黑体" w:hAnsi="黑体" w:eastAsia="黑体"/>
          <w:snapToGrid w:val="0"/>
        </w:rPr>
        <w:t>ata q</w:t>
      </w:r>
      <w:r>
        <w:rPr>
          <w:rFonts w:hint="eastAsia" w:ascii="黑体" w:hAnsi="黑体" w:eastAsia="黑体"/>
          <w:snapToGrid w:val="0"/>
        </w:rPr>
        <w:t>uality</w:t>
      </w:r>
      <w:r>
        <w:rPr>
          <w:rFonts w:ascii="黑体" w:hAnsi="黑体" w:eastAsia="黑体"/>
          <w:snapToGrid w:val="0"/>
        </w:rPr>
        <w:t xml:space="preserve"> governance</w:t>
      </w:r>
    </w:p>
    <w:p>
      <w:pPr>
        <w:pStyle w:val="63"/>
        <w:ind w:firstLine="420"/>
        <w:rPr>
          <w:rFonts w:ascii="FangSong_GB2312"/>
        </w:rPr>
      </w:pPr>
      <w:r>
        <w:rPr>
          <w:rFonts w:hint="eastAsia" w:ascii="FangSong_GB2312"/>
        </w:rPr>
        <w:t>按照数据质量监测结果，对数据进行更正并逐步提升数据质量的过程。</w:t>
      </w:r>
    </w:p>
    <w:bookmarkEnd w:id="41"/>
    <w:p>
      <w:pPr>
        <w:pStyle w:val="111"/>
        <w:spacing w:before="317" w:after="317"/>
        <w:rPr>
          <w:color w:val="000000" w:themeColor="text1"/>
          <w14:textFill>
            <w14:solidFill>
              <w14:schemeClr w14:val="tx1"/>
            </w14:solidFill>
          </w14:textFill>
        </w:rPr>
      </w:pPr>
      <w:bookmarkStart w:id="42" w:name="_Toc148106000"/>
      <w:bookmarkEnd w:id="42"/>
      <w:bookmarkStart w:id="43" w:name="_Toc148105999"/>
      <w:bookmarkEnd w:id="43"/>
      <w:bookmarkStart w:id="44" w:name="_Toc181957953"/>
      <w:bookmarkStart w:id="45" w:name="_Toc30788"/>
      <w:bookmarkStart w:id="46" w:name="_Toc169534507"/>
      <w:r>
        <w:rPr>
          <w:rFonts w:hint="eastAsia"/>
          <w:color w:val="000000" w:themeColor="text1"/>
          <w14:textFill>
            <w14:solidFill>
              <w14:schemeClr w14:val="tx1"/>
            </w14:solidFill>
          </w14:textFill>
        </w:rPr>
        <w:t>基本原则</w:t>
      </w:r>
      <w:bookmarkEnd w:id="44"/>
      <w:bookmarkEnd w:id="45"/>
      <w:bookmarkEnd w:id="46"/>
    </w:p>
    <w:p>
      <w:pPr>
        <w:pStyle w:val="112"/>
        <w:spacing w:before="158" w:after="158"/>
        <w:rPr>
          <w:rFonts w:hint="eastAsia" w:hAnsi="黑体" w:cs="Times New Roman"/>
        </w:rPr>
      </w:pPr>
      <w:bookmarkStart w:id="47" w:name="_Toc181957955"/>
      <w:bookmarkStart w:id="48" w:name="_Toc17317"/>
      <w:r>
        <w:rPr>
          <w:rFonts w:hint="eastAsia" w:hAnsi="黑体" w:cs="Times New Roman"/>
        </w:rPr>
        <w:t>目标导向原则</w:t>
      </w:r>
      <w:bookmarkEnd w:id="47"/>
      <w:bookmarkEnd w:id="48"/>
    </w:p>
    <w:p>
      <w:pPr>
        <w:pStyle w:val="63"/>
        <w:ind w:firstLine="420"/>
        <w:rPr>
          <w:rFonts w:hAnsi="宋体"/>
        </w:rPr>
      </w:pPr>
      <w:r>
        <w:rPr>
          <w:rFonts w:hint="eastAsia" w:hAnsi="宋体"/>
        </w:rPr>
        <w:t>数据质量监测应围绕业务需求设定质量目标，围绕质量目标开展工作能够更好</w:t>
      </w:r>
      <w:r>
        <w:rPr>
          <w:rFonts w:hint="eastAsia" w:hAnsi="宋体"/>
          <w:lang w:eastAsia="zh-CN"/>
        </w:rPr>
        <w:t>地</w:t>
      </w:r>
      <w:r>
        <w:rPr>
          <w:rFonts w:hint="eastAsia" w:hAnsi="宋体"/>
        </w:rPr>
        <w:t>识别和解决数据质量问题。</w:t>
      </w:r>
    </w:p>
    <w:p>
      <w:pPr>
        <w:pStyle w:val="112"/>
        <w:spacing w:before="158" w:after="158"/>
        <w:rPr>
          <w:rFonts w:hint="eastAsia" w:hAnsi="黑体" w:cs="Times New Roman"/>
        </w:rPr>
      </w:pPr>
      <w:bookmarkStart w:id="49" w:name="_Toc23766"/>
      <w:bookmarkStart w:id="50" w:name="_Toc181957956"/>
      <w:r>
        <w:rPr>
          <w:rFonts w:hint="eastAsia" w:hAnsi="黑体" w:cs="Times New Roman"/>
        </w:rPr>
        <w:t>闭环处置原则</w:t>
      </w:r>
      <w:bookmarkEnd w:id="49"/>
      <w:bookmarkEnd w:id="50"/>
    </w:p>
    <w:p>
      <w:pPr>
        <w:pStyle w:val="63"/>
        <w:ind w:firstLine="420"/>
        <w:rPr>
          <w:rFonts w:hAnsi="宋体"/>
        </w:rPr>
      </w:pPr>
      <w:r>
        <w:rPr>
          <w:rFonts w:hint="eastAsia" w:hAnsi="宋体"/>
        </w:rPr>
        <w:t>数据质量监测应强调</w:t>
      </w:r>
      <w:r>
        <w:rPr>
          <w:rFonts w:hint="eastAsia" w:hAnsi="宋体"/>
          <w:lang w:val="en-US" w:eastAsia="zh-CN"/>
        </w:rPr>
        <w:t>问题的旁路识别</w:t>
      </w:r>
      <w:r>
        <w:rPr>
          <w:rFonts w:hint="eastAsia" w:hAnsi="宋体"/>
        </w:rPr>
        <w:t>、</w:t>
      </w:r>
      <w:r>
        <w:rPr>
          <w:rFonts w:hint="eastAsia" w:hAnsi="宋体"/>
          <w:lang w:val="en-US" w:eastAsia="zh-CN"/>
        </w:rPr>
        <w:t>源头处置</w:t>
      </w:r>
      <w:r>
        <w:rPr>
          <w:rFonts w:hint="eastAsia" w:hAnsi="宋体"/>
        </w:rPr>
        <w:t>以及</w:t>
      </w:r>
      <w:r>
        <w:rPr>
          <w:rFonts w:hint="eastAsia" w:hAnsi="宋体"/>
          <w:lang w:val="en-US" w:eastAsia="zh-CN"/>
        </w:rPr>
        <w:t>修复后自动关闭</w:t>
      </w:r>
      <w:r>
        <w:rPr>
          <w:rFonts w:hint="eastAsia" w:hAnsi="宋体"/>
        </w:rPr>
        <w:t>的全流程闭环管理，并分析数据质量问题的根本原因，避免问题数据继续产生。</w:t>
      </w:r>
    </w:p>
    <w:p>
      <w:pPr>
        <w:pStyle w:val="112"/>
        <w:spacing w:before="158" w:after="158"/>
        <w:rPr>
          <w:rFonts w:hint="eastAsia" w:hAnsi="黑体" w:cs="Times New Roman"/>
        </w:rPr>
      </w:pPr>
      <w:bookmarkStart w:id="51" w:name="_Toc181957957"/>
      <w:bookmarkStart w:id="52" w:name="_Toc4408"/>
      <w:r>
        <w:rPr>
          <w:rFonts w:hint="eastAsia" w:hAnsi="黑体" w:cs="Times New Roman"/>
        </w:rPr>
        <w:t>持续改进原则</w:t>
      </w:r>
      <w:bookmarkEnd w:id="51"/>
      <w:bookmarkEnd w:id="52"/>
    </w:p>
    <w:p>
      <w:pPr>
        <w:pStyle w:val="63"/>
        <w:ind w:firstLine="420"/>
        <w:rPr>
          <w:rFonts w:hAnsi="宋体"/>
        </w:rPr>
      </w:pPr>
      <w:r>
        <w:rPr>
          <w:rFonts w:hint="eastAsia" w:hAnsi="宋体"/>
        </w:rPr>
        <w:t>数据质量监测不是一次性工作，应根据数据质量监测结果，不断调整数据质量工作的目标，以适应不断变化的业务需求，推动数据质量的持续提升。</w:t>
      </w:r>
    </w:p>
    <w:p>
      <w:pPr>
        <w:pStyle w:val="111"/>
        <w:spacing w:before="317" w:after="317"/>
      </w:pPr>
      <w:bookmarkStart w:id="53" w:name="_Toc148106003"/>
      <w:bookmarkEnd w:id="53"/>
      <w:bookmarkStart w:id="54" w:name="_Toc148106002"/>
      <w:bookmarkEnd w:id="54"/>
      <w:bookmarkStart w:id="55" w:name="_Toc148106006"/>
      <w:bookmarkEnd w:id="55"/>
      <w:bookmarkStart w:id="56" w:name="_Toc148106004"/>
      <w:bookmarkEnd w:id="56"/>
      <w:bookmarkStart w:id="57" w:name="_Toc148106005"/>
      <w:bookmarkEnd w:id="57"/>
      <w:bookmarkStart w:id="58" w:name="_Toc181957958"/>
      <w:bookmarkStart w:id="59" w:name="_Toc169534508"/>
      <w:bookmarkStart w:id="60" w:name="_Toc24164"/>
      <w:r>
        <w:rPr>
          <w:rFonts w:hint="eastAsia"/>
        </w:rPr>
        <w:t>监测方法及方式</w:t>
      </w:r>
      <w:bookmarkEnd w:id="58"/>
      <w:bookmarkEnd w:id="59"/>
      <w:bookmarkEnd w:id="60"/>
    </w:p>
    <w:p>
      <w:pPr>
        <w:pStyle w:val="112"/>
        <w:spacing w:before="158" w:after="158"/>
        <w:rPr>
          <w:rFonts w:hAnsi="黑体"/>
        </w:rPr>
      </w:pPr>
      <w:bookmarkStart w:id="61" w:name="_Toc181957959"/>
      <w:bookmarkStart w:id="62" w:name="_Toc169534509"/>
      <w:bookmarkStart w:id="63" w:name="_Toc14683"/>
      <w:r>
        <w:rPr>
          <w:rFonts w:hint="eastAsia" w:hAnsi="黑体"/>
        </w:rPr>
        <w:t>监测方法</w:t>
      </w:r>
      <w:bookmarkEnd w:id="61"/>
      <w:bookmarkEnd w:id="62"/>
      <w:bookmarkEnd w:id="63"/>
    </w:p>
    <w:p>
      <w:pPr>
        <w:pStyle w:val="172"/>
      </w:pPr>
      <w:r>
        <w:rPr>
          <w:rFonts w:hint="eastAsia"/>
        </w:rPr>
        <w:t>数据质量监测应采用自动化监测的</w:t>
      </w:r>
      <w:r>
        <w:rPr>
          <w:rFonts w:hint="eastAsia"/>
          <w:lang w:val="en-US" w:eastAsia="zh-CN"/>
        </w:rPr>
        <w:t>技术</w:t>
      </w:r>
      <w:r>
        <w:rPr>
          <w:rFonts w:hint="eastAsia"/>
        </w:rPr>
        <w:t>方法，通过软件自动分析和判断结果，并保证监测流程可记录、可追溯。</w:t>
      </w:r>
    </w:p>
    <w:p>
      <w:pPr>
        <w:pStyle w:val="172"/>
      </w:pPr>
      <w:r>
        <w:rPr>
          <w:rFonts w:hint="eastAsia"/>
        </w:rPr>
        <w:t>数据质量监测应采用旁路监测的</w:t>
      </w:r>
      <w:r>
        <w:rPr>
          <w:rFonts w:hint="eastAsia"/>
          <w:lang w:val="en-US" w:eastAsia="zh-CN"/>
        </w:rPr>
        <w:t>实施方法</w:t>
      </w:r>
      <w:r>
        <w:rPr>
          <w:rFonts w:hint="eastAsia"/>
        </w:rPr>
        <w:t>，</w:t>
      </w:r>
      <w:r>
        <w:rPr>
          <w:rFonts w:hint="eastAsia" w:hAnsi="宋体"/>
        </w:rPr>
        <w:t>将</w:t>
      </w:r>
      <w:r>
        <w:rPr>
          <w:rFonts w:hint="eastAsia"/>
        </w:rPr>
        <w:t>需要监测</w:t>
      </w:r>
      <w:r>
        <w:rPr>
          <w:rFonts w:hint="eastAsia" w:hAnsi="宋体"/>
        </w:rPr>
        <w:t>的</w:t>
      </w:r>
      <w:r>
        <w:rPr>
          <w:rFonts w:hint="eastAsia"/>
        </w:rPr>
        <w:t>数据同步至</w:t>
      </w:r>
      <w:r>
        <w:rPr>
          <w:rFonts w:hint="eastAsia"/>
          <w:lang w:val="en-US" w:eastAsia="zh-CN"/>
        </w:rPr>
        <w:t>监测</w:t>
      </w:r>
      <w:r>
        <w:rPr>
          <w:rFonts w:hint="eastAsia"/>
        </w:rPr>
        <w:t>环境进行</w:t>
      </w:r>
      <w:r>
        <w:rPr>
          <w:rFonts w:hint="eastAsia"/>
          <w:lang w:val="en-US" w:eastAsia="zh-CN"/>
        </w:rPr>
        <w:t>独立</w:t>
      </w:r>
      <w:r>
        <w:rPr>
          <w:rFonts w:hint="eastAsia"/>
        </w:rPr>
        <w:t>分析，避免对业务系统产生影响</w:t>
      </w:r>
      <w:r>
        <w:rPr>
          <w:rFonts w:hint="eastAsia"/>
          <w:lang w:eastAsia="zh-CN"/>
        </w:rPr>
        <w:t>，</w:t>
      </w:r>
      <w:r>
        <w:rPr>
          <w:rFonts w:hint="eastAsia"/>
        </w:rPr>
        <w:t>同时满足数据质量监测</w:t>
      </w:r>
      <w:r>
        <w:rPr>
          <w:rFonts w:hint="eastAsia"/>
          <w:lang w:val="en-US" w:eastAsia="zh-CN"/>
        </w:rPr>
        <w:t>过程</w:t>
      </w:r>
      <w:r>
        <w:rPr>
          <w:rFonts w:hint="eastAsia"/>
        </w:rPr>
        <w:t>的性能要求。</w:t>
      </w:r>
    </w:p>
    <w:p>
      <w:pPr>
        <w:pStyle w:val="112"/>
        <w:spacing w:before="158" w:after="158"/>
        <w:rPr>
          <w:rFonts w:hAnsi="黑体"/>
        </w:rPr>
      </w:pPr>
      <w:bookmarkStart w:id="64" w:name="_Toc169534510"/>
      <w:bookmarkStart w:id="65" w:name="_Toc181957960"/>
      <w:bookmarkStart w:id="66" w:name="_Toc7349"/>
      <w:r>
        <w:rPr>
          <w:rFonts w:hint="eastAsia" w:hAnsi="黑体"/>
        </w:rPr>
        <w:t>监测方式</w:t>
      </w:r>
      <w:bookmarkEnd w:id="64"/>
      <w:bookmarkEnd w:id="65"/>
      <w:bookmarkEnd w:id="66"/>
    </w:p>
    <w:p>
      <w:pPr>
        <w:pStyle w:val="63"/>
        <w:ind w:firstLine="420"/>
        <w:rPr>
          <w:rFonts w:hint="eastAsia" w:eastAsia="宋体"/>
          <w:lang w:eastAsia="zh-CN"/>
        </w:rPr>
      </w:pPr>
      <w:r>
        <w:rPr>
          <w:rFonts w:hint="eastAsia"/>
        </w:rPr>
        <w:t>数据质量监测应支持全量监测、定量监测和抽样监测三种方式</w:t>
      </w:r>
      <w:r>
        <w:rPr>
          <w:rFonts w:hint="eastAsia"/>
          <w:lang w:eastAsia="zh-CN"/>
        </w:rPr>
        <w:t>：</w:t>
      </w:r>
      <w:bookmarkStart w:id="117" w:name="_GoBack"/>
      <w:bookmarkEnd w:id="117"/>
    </w:p>
    <w:p>
      <w:pPr>
        <w:pStyle w:val="281"/>
        <w:keepNext w:val="0"/>
        <w:keepLines w:val="0"/>
        <w:pageBreakBefore w:val="0"/>
        <w:widowControl/>
        <w:numPr>
          <w:ilvl w:val="0"/>
          <w:numId w:val="33"/>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全量监测，对涉及的所有数据进行质量监测；</w:t>
      </w:r>
    </w:p>
    <w:p>
      <w:pPr>
        <w:pStyle w:val="281"/>
        <w:keepNext w:val="0"/>
        <w:keepLines w:val="0"/>
        <w:pageBreakBefore w:val="0"/>
        <w:widowControl/>
        <w:numPr>
          <w:ilvl w:val="0"/>
          <w:numId w:val="33"/>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定量监测，对特定的范围和时间内的数据进行质量监测；</w:t>
      </w:r>
    </w:p>
    <w:p>
      <w:pPr>
        <w:pStyle w:val="281"/>
        <w:keepNext w:val="0"/>
        <w:keepLines w:val="0"/>
        <w:pageBreakBefore w:val="0"/>
        <w:widowControl/>
        <w:numPr>
          <w:ilvl w:val="0"/>
          <w:numId w:val="33"/>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抽样监测，制定并执行抽样方案，对抽取的数据进行质量监测。</w:t>
      </w:r>
    </w:p>
    <w:p>
      <w:pPr>
        <w:pStyle w:val="111"/>
        <w:spacing w:before="317" w:after="317"/>
      </w:pPr>
      <w:bookmarkStart w:id="67" w:name="_Toc181957961"/>
      <w:bookmarkStart w:id="68" w:name="_Toc169534511"/>
      <w:bookmarkStart w:id="69" w:name="_Toc8922"/>
      <w:r>
        <w:rPr>
          <w:rFonts w:hint="eastAsia"/>
        </w:rPr>
        <w:t>监测指标</w:t>
      </w:r>
      <w:bookmarkEnd w:id="67"/>
      <w:bookmarkEnd w:id="68"/>
      <w:bookmarkEnd w:id="69"/>
    </w:p>
    <w:p>
      <w:pPr>
        <w:pStyle w:val="112"/>
        <w:spacing w:before="158" w:after="158"/>
        <w:rPr>
          <w:rFonts w:ascii="FangSong_GB2312"/>
          <w:snapToGrid w:val="0"/>
        </w:rPr>
      </w:pPr>
      <w:bookmarkStart w:id="70" w:name="_Toc181957962"/>
      <w:bookmarkStart w:id="71" w:name="_Toc6398"/>
      <w:bookmarkStart w:id="72" w:name="_Toc169534512"/>
      <w:r>
        <w:rPr>
          <w:rFonts w:hint="eastAsia" w:ascii="FangSong_GB2312"/>
          <w:snapToGrid w:val="0"/>
        </w:rPr>
        <w:t>监测指标框架</w:t>
      </w:r>
      <w:bookmarkEnd w:id="70"/>
      <w:bookmarkEnd w:id="71"/>
      <w:bookmarkEnd w:id="72"/>
    </w:p>
    <w:p>
      <w:pPr>
        <w:pStyle w:val="63"/>
        <w:ind w:firstLine="420"/>
      </w:pPr>
      <w:r>
        <w:rPr>
          <w:rFonts w:hint="eastAsia"/>
        </w:rPr>
        <w:t>数据质量监测指标框架包括数据质量指标和工作质量指标两个一级指标及若干二级指标，见图1。</w:t>
      </w:r>
    </w:p>
    <w:p>
      <w:pPr>
        <w:pStyle w:val="63"/>
        <w:ind w:firstLine="420"/>
      </w:pPr>
      <w:r>
        <w:rPr>
          <w:rFonts w:hint="eastAsia"/>
        </w:rPr>
        <w:t>在数据质量监测工作中，每个一级指标和二级指标可依据实际情况设置权重。</w:t>
      </w:r>
    </w:p>
    <w:p>
      <w:pPr>
        <w:pStyle w:val="63"/>
        <w:ind w:firstLine="0" w:firstLineChars="0"/>
        <w:jc w:val="center"/>
      </w:pPr>
      <w:r>
        <w:rPr>
          <w:rFonts w:ascii="Calibri" w:hAnsi="Calibri"/>
          <w:kern w:val="2"/>
          <w:szCs w:val="21"/>
        </w:rPr>
        <w:drawing>
          <wp:inline distT="0" distB="0" distL="0" distR="0">
            <wp:extent cx="5760085" cy="3364230"/>
            <wp:effectExtent l="0" t="0" r="635" b="3810"/>
            <wp:docPr id="884231580" name="Picture 1" descr="d:/Users/luzhi/Desktop/微信图片_20241105141003.jpg微信图片_2024110514100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84231580" name="Picture 1" descr="d:/Users/luzhi/Desktop/微信图片_20241105141003.jpg微信图片_20241105141003"/>
                    <pic:cNvPicPr>
                      <a:picLocks noChangeAspect="true"/>
                    </pic:cNvPicPr>
                  </pic:nvPicPr>
                  <pic:blipFill>
                    <a:blip r:embed="rId15"/>
                    <a:srcRect/>
                    <a:stretch>
                      <a:fillRect/>
                    </a:stretch>
                  </pic:blipFill>
                  <pic:spPr>
                    <a:xfrm>
                      <a:off x="0" y="0"/>
                      <a:ext cx="5760085" cy="3364230"/>
                    </a:xfrm>
                    <a:prstGeom prst="rect">
                      <a:avLst/>
                    </a:prstGeom>
                  </pic:spPr>
                </pic:pic>
              </a:graphicData>
            </a:graphic>
          </wp:inline>
        </w:drawing>
      </w:r>
    </w:p>
    <w:p>
      <w:pPr>
        <w:pStyle w:val="121"/>
        <w:spacing w:before="158" w:after="158"/>
        <w:ind w:firstLine="420"/>
      </w:pPr>
      <w:r>
        <w:rPr>
          <w:rFonts w:hint="eastAsia"/>
        </w:rPr>
        <w:t>数据质量监测指标框架</w:t>
      </w:r>
    </w:p>
    <w:p>
      <w:pPr>
        <w:pStyle w:val="112"/>
        <w:spacing w:before="158" w:after="158"/>
        <w:rPr>
          <w:rFonts w:ascii="FangSong_GB2312"/>
          <w:snapToGrid w:val="0"/>
        </w:rPr>
      </w:pPr>
      <w:bookmarkStart w:id="73" w:name="_Toc169534513"/>
      <w:bookmarkStart w:id="74" w:name="_Toc4428"/>
      <w:bookmarkStart w:id="75" w:name="_Toc181957963"/>
      <w:r>
        <w:rPr>
          <w:rFonts w:hint="eastAsia" w:ascii="FangSong_GB2312"/>
          <w:snapToGrid w:val="0"/>
        </w:rPr>
        <w:t>数据质量指标</w:t>
      </w:r>
      <w:bookmarkEnd w:id="73"/>
      <w:bookmarkEnd w:id="74"/>
      <w:bookmarkEnd w:id="75"/>
    </w:p>
    <w:p>
      <w:pPr>
        <w:pStyle w:val="63"/>
        <w:ind w:firstLine="420"/>
      </w:pPr>
      <w:r>
        <w:rPr>
          <w:rFonts w:hint="eastAsia"/>
        </w:rPr>
        <w:t>数据质量指标应符合GB/T</w:t>
      </w:r>
      <w:r>
        <w:t xml:space="preserve"> 36344</w:t>
      </w:r>
      <w:r>
        <w:rPr>
          <w:rFonts w:hint="eastAsia"/>
        </w:rPr>
        <w:t>—</w:t>
      </w:r>
      <w:r>
        <w:t>2018</w:t>
      </w:r>
      <w:r>
        <w:rPr>
          <w:rFonts w:hint="eastAsia"/>
        </w:rPr>
        <w:t>中的第4章、第5章的要求，包含规范性、完整性、准确性、一致性、时效性、可访问性</w:t>
      </w:r>
      <w:r>
        <w:t>6</w:t>
      </w:r>
      <w:r>
        <w:rPr>
          <w:rFonts w:hint="eastAsia"/>
        </w:rPr>
        <w:t>个二级指标：</w:t>
      </w:r>
    </w:p>
    <w:p>
      <w:pPr>
        <w:pStyle w:val="281"/>
        <w:keepNext w:val="0"/>
        <w:keepLines w:val="0"/>
        <w:pageBreakBefore w:val="0"/>
        <w:widowControl/>
        <w:numPr>
          <w:ilvl w:val="0"/>
          <w:numId w:val="34"/>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规范性：数据符合数据标准、数据模型、业务规则或权威参考数据的程度；</w:t>
      </w:r>
    </w:p>
    <w:p>
      <w:pPr>
        <w:pStyle w:val="281"/>
        <w:keepNext w:val="0"/>
        <w:keepLines w:val="0"/>
        <w:pageBreakBefore w:val="0"/>
        <w:widowControl/>
        <w:numPr>
          <w:ilvl w:val="0"/>
          <w:numId w:val="34"/>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完整性：按照数据规则要求，记录、属性及字段值等要素的完整程度；</w:t>
      </w:r>
    </w:p>
    <w:p>
      <w:pPr>
        <w:pStyle w:val="281"/>
        <w:keepNext w:val="0"/>
        <w:keepLines w:val="0"/>
        <w:pageBreakBefore w:val="0"/>
        <w:widowControl/>
        <w:numPr>
          <w:ilvl w:val="0"/>
          <w:numId w:val="34"/>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准确性：表示数据与其所描述实际对象的真实值对比的准确程度；</w:t>
      </w:r>
    </w:p>
    <w:p>
      <w:pPr>
        <w:pStyle w:val="281"/>
        <w:keepNext w:val="0"/>
        <w:keepLines w:val="0"/>
        <w:pageBreakBefore w:val="0"/>
        <w:widowControl/>
        <w:numPr>
          <w:ilvl w:val="0"/>
          <w:numId w:val="34"/>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一致性：数据与其他特定上下文中使用的数据无矛盾的程度；</w:t>
      </w:r>
    </w:p>
    <w:p>
      <w:pPr>
        <w:pStyle w:val="281"/>
        <w:keepNext w:val="0"/>
        <w:keepLines w:val="0"/>
        <w:pageBreakBefore w:val="0"/>
        <w:widowControl/>
        <w:numPr>
          <w:ilvl w:val="0"/>
          <w:numId w:val="34"/>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时效性：数据及时有效的程度；</w:t>
      </w:r>
    </w:p>
    <w:p>
      <w:pPr>
        <w:pStyle w:val="281"/>
        <w:keepNext w:val="0"/>
        <w:keepLines w:val="0"/>
        <w:pageBreakBefore w:val="0"/>
        <w:widowControl/>
        <w:numPr>
          <w:ilvl w:val="0"/>
          <w:numId w:val="34"/>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可访问性：数据能被访问的程度。</w:t>
      </w:r>
    </w:p>
    <w:p>
      <w:pPr>
        <w:pStyle w:val="169"/>
        <w:numPr>
          <w:ilvl w:val="0"/>
          <w:numId w:val="0"/>
        </w:numPr>
        <w:ind w:firstLine="360" w:firstLineChars="200"/>
        <w:rPr>
          <w:rFonts w:ascii="黑体" w:hAnsi="黑体" w:eastAsia="黑体"/>
          <w:sz w:val="18"/>
          <w:szCs w:val="18"/>
        </w:rPr>
      </w:pPr>
      <w:r>
        <w:rPr>
          <w:rFonts w:hint="eastAsia" w:ascii="黑体" w:hAnsi="黑体" w:eastAsia="黑体"/>
          <w:sz w:val="18"/>
          <w:szCs w:val="18"/>
        </w:rPr>
        <w:t>注：</w:t>
      </w:r>
      <w:r>
        <w:rPr>
          <w:rFonts w:hint="eastAsia"/>
          <w:sz w:val="18"/>
          <w:szCs w:val="18"/>
        </w:rPr>
        <w:t>数据质量指标权重参见附录A。</w:t>
      </w:r>
    </w:p>
    <w:p>
      <w:pPr>
        <w:pStyle w:val="112"/>
        <w:spacing w:before="158" w:after="158"/>
        <w:rPr>
          <w:rFonts w:ascii="FangSong_GB2312"/>
          <w:snapToGrid w:val="0"/>
        </w:rPr>
      </w:pPr>
      <w:bookmarkStart w:id="76" w:name="_Toc169528755"/>
      <w:bookmarkEnd w:id="76"/>
      <w:bookmarkStart w:id="77" w:name="_Toc181957964"/>
      <w:bookmarkStart w:id="78" w:name="_Toc169534514"/>
      <w:bookmarkStart w:id="79" w:name="_Toc31463"/>
      <w:r>
        <w:rPr>
          <w:rFonts w:hint="eastAsia" w:ascii="FangSong_GB2312"/>
          <w:snapToGrid w:val="0"/>
        </w:rPr>
        <w:t>工作质量指标</w:t>
      </w:r>
      <w:bookmarkEnd w:id="77"/>
      <w:bookmarkEnd w:id="78"/>
      <w:bookmarkEnd w:id="79"/>
    </w:p>
    <w:p>
      <w:pPr>
        <w:pStyle w:val="63"/>
        <w:ind w:firstLine="420"/>
      </w:pPr>
      <w:r>
        <w:rPr>
          <w:rFonts w:hint="eastAsia"/>
        </w:rPr>
        <w:t>工作质量指标包含工单受理及时性、工单处理及时性、工单处理有效性、问题整改完整性四个二级指标：</w:t>
      </w:r>
    </w:p>
    <w:p>
      <w:pPr>
        <w:pStyle w:val="281"/>
        <w:keepNext w:val="0"/>
        <w:keepLines w:val="0"/>
        <w:pageBreakBefore w:val="0"/>
        <w:widowControl/>
        <w:numPr>
          <w:ilvl w:val="0"/>
          <w:numId w:val="35"/>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工单受理及时性：在规定时间内，数据责任机构受理工单数与应受理工单数的比率；</w:t>
      </w:r>
    </w:p>
    <w:p>
      <w:pPr>
        <w:pStyle w:val="281"/>
        <w:keepNext w:val="0"/>
        <w:keepLines w:val="0"/>
        <w:pageBreakBefore w:val="0"/>
        <w:widowControl/>
        <w:numPr>
          <w:ilvl w:val="0"/>
          <w:numId w:val="35"/>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工单处理及时性：在规定时间内，数据责任机构处理工单数与应处理工单数的比率；</w:t>
      </w:r>
    </w:p>
    <w:p>
      <w:pPr>
        <w:pStyle w:val="281"/>
        <w:keepNext w:val="0"/>
        <w:keepLines w:val="0"/>
        <w:pageBreakBefore w:val="0"/>
        <w:widowControl/>
        <w:numPr>
          <w:ilvl w:val="0"/>
          <w:numId w:val="35"/>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工单处理有效性：数据责任机构处理工单符合整改要求的程度；</w:t>
      </w:r>
    </w:p>
    <w:p>
      <w:pPr>
        <w:pStyle w:val="281"/>
        <w:keepNext w:val="0"/>
        <w:keepLines w:val="0"/>
        <w:pageBreakBefore w:val="0"/>
        <w:widowControl/>
        <w:numPr>
          <w:ilvl w:val="0"/>
          <w:numId w:val="35"/>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问题整改完整性：在指定时间区间内，数据责任机构问题数据的总体整改率。</w:t>
      </w:r>
    </w:p>
    <w:p>
      <w:pPr>
        <w:pStyle w:val="63"/>
        <w:ind w:firstLine="360"/>
        <w:rPr>
          <w:sz w:val="18"/>
          <w:szCs w:val="18"/>
        </w:rPr>
      </w:pPr>
      <w:r>
        <w:rPr>
          <w:rFonts w:hint="eastAsia" w:ascii="黑体" w:hAnsi="黑体" w:eastAsia="黑体"/>
          <w:sz w:val="18"/>
          <w:szCs w:val="18"/>
        </w:rPr>
        <w:t>注：</w:t>
      </w:r>
      <w:r>
        <w:rPr>
          <w:rFonts w:hint="eastAsia"/>
          <w:sz w:val="18"/>
          <w:szCs w:val="18"/>
        </w:rPr>
        <w:t>工作质量指标权重参见附录A。</w:t>
      </w:r>
    </w:p>
    <w:p>
      <w:pPr>
        <w:pStyle w:val="111"/>
        <w:spacing w:before="317" w:after="317"/>
      </w:pPr>
      <w:bookmarkStart w:id="80" w:name="_Toc169528757"/>
      <w:bookmarkEnd w:id="80"/>
      <w:bookmarkStart w:id="81" w:name="_Toc169534515"/>
      <w:bookmarkStart w:id="82" w:name="_Toc24182"/>
      <w:bookmarkStart w:id="83" w:name="_Toc181957965"/>
      <w:r>
        <w:rPr>
          <w:rFonts w:hint="eastAsia"/>
        </w:rPr>
        <w:t>监测流程及要求</w:t>
      </w:r>
      <w:bookmarkEnd w:id="81"/>
      <w:bookmarkEnd w:id="82"/>
      <w:bookmarkEnd w:id="83"/>
    </w:p>
    <w:p>
      <w:pPr>
        <w:pStyle w:val="112"/>
        <w:spacing w:before="158" w:after="158"/>
        <w:rPr>
          <w:rFonts w:ascii="FangSong_GB2312"/>
          <w:snapToGrid w:val="0"/>
        </w:rPr>
      </w:pPr>
      <w:bookmarkStart w:id="84" w:name="_Toc19160"/>
      <w:bookmarkStart w:id="85" w:name="_Toc169534516"/>
      <w:bookmarkStart w:id="86" w:name="_Toc181957966"/>
      <w:r>
        <w:rPr>
          <w:rFonts w:hint="eastAsia" w:ascii="FangSong_GB2312"/>
          <w:snapToGrid w:val="0"/>
        </w:rPr>
        <w:t>工作流程</w:t>
      </w:r>
      <w:bookmarkEnd w:id="84"/>
      <w:bookmarkEnd w:id="85"/>
      <w:bookmarkEnd w:id="86"/>
    </w:p>
    <w:p>
      <w:pPr>
        <w:pStyle w:val="63"/>
        <w:ind w:left="120" w:leftChars="50" w:firstLine="315" w:firstLineChars="150"/>
      </w:pPr>
      <w:r>
        <w:rPr>
          <w:rFonts w:hint="eastAsia"/>
        </w:rPr>
        <w:t>数据质量监测工作流程应保证数据质量监测整个过程的有序及有效进行，包括方案制定、数据准备、规则制定、问题发现、问题处置、复测核验、综合评价七个环节，见图</w:t>
      </w:r>
      <w:r>
        <w:t>2</w:t>
      </w:r>
      <w:r>
        <w:rPr>
          <w:rFonts w:hint="eastAsia"/>
        </w:rPr>
        <w:t>。</w:t>
      </w:r>
    </w:p>
    <w:p>
      <w:pPr>
        <w:pStyle w:val="63"/>
        <w:ind w:firstLine="0" w:firstLineChars="0"/>
        <w:jc w:val="center"/>
      </w:pPr>
      <w:r>
        <w:drawing>
          <wp:inline distT="0" distB="0" distL="0" distR="0">
            <wp:extent cx="5760085" cy="6544310"/>
            <wp:effectExtent l="0" t="0" r="635" b="8890"/>
            <wp:docPr id="175408837" name="Picture 1" descr="D:/Asari/2024/11-数据质量地方标准/数据质量监测工作流程.png数据质量监测工作流程"/>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75408837" name="Picture 1" descr="D:/Asari/2024/11-数据质量地方标准/数据质量监测工作流程.png数据质量监测工作流程"/>
                    <pic:cNvPicPr>
                      <a:picLocks noChangeAspect="true"/>
                    </pic:cNvPicPr>
                  </pic:nvPicPr>
                  <pic:blipFill>
                    <a:blip r:embed="rId16"/>
                    <a:srcRect/>
                    <a:stretch>
                      <a:fillRect/>
                    </a:stretch>
                  </pic:blipFill>
                  <pic:spPr>
                    <a:xfrm>
                      <a:off x="0" y="0"/>
                      <a:ext cx="5760085" cy="6544310"/>
                    </a:xfrm>
                    <a:prstGeom prst="rect">
                      <a:avLst/>
                    </a:prstGeom>
                  </pic:spPr>
                </pic:pic>
              </a:graphicData>
            </a:graphic>
          </wp:inline>
        </w:drawing>
      </w:r>
      <w:r>
        <w:t xml:space="preserve"> </w:t>
      </w:r>
    </w:p>
    <w:p>
      <w:pPr>
        <w:pStyle w:val="121"/>
        <w:spacing w:before="158" w:after="158"/>
        <w:ind w:firstLine="420"/>
      </w:pPr>
      <w:r>
        <w:rPr>
          <w:rFonts w:hint="eastAsia"/>
        </w:rPr>
        <w:t>数据质量监测工作流程</w:t>
      </w:r>
    </w:p>
    <w:p>
      <w:pPr>
        <w:pStyle w:val="112"/>
        <w:spacing w:before="158" w:after="158"/>
        <w:rPr>
          <w:rFonts w:ascii="FangSong_GB2312"/>
          <w:snapToGrid w:val="0"/>
        </w:rPr>
      </w:pPr>
      <w:bookmarkStart w:id="87" w:name="_Toc6131"/>
      <w:bookmarkStart w:id="88" w:name="_Toc181957967"/>
      <w:bookmarkStart w:id="89" w:name="_Toc169534517"/>
      <w:r>
        <w:rPr>
          <w:rFonts w:hint="eastAsia" w:ascii="FangSong_GB2312"/>
          <w:snapToGrid w:val="0"/>
        </w:rPr>
        <w:t>方案规划</w:t>
      </w:r>
      <w:bookmarkEnd w:id="87"/>
      <w:bookmarkEnd w:id="88"/>
      <w:bookmarkEnd w:id="89"/>
    </w:p>
    <w:p>
      <w:pPr>
        <w:pStyle w:val="72"/>
        <w:spacing w:before="158" w:after="158"/>
        <w:rPr>
          <w:snapToGrid w:val="0"/>
        </w:rPr>
      </w:pPr>
      <w:r>
        <w:rPr>
          <w:rFonts w:hint="eastAsia"/>
          <w:snapToGrid w:val="0"/>
        </w:rPr>
        <w:t>方案制定</w:t>
      </w:r>
    </w:p>
    <w:p>
      <w:pPr>
        <w:pStyle w:val="101"/>
        <w:spacing w:beforeLines="0" w:afterLines="0"/>
        <w:rPr>
          <w:rFonts w:ascii="宋体" w:eastAsia="宋体"/>
        </w:rPr>
      </w:pPr>
      <w:r>
        <w:rPr>
          <w:rFonts w:hint="eastAsia" w:ascii="宋体" w:eastAsia="宋体"/>
        </w:rPr>
        <w:t>数据质量监测机构依据实际业务和管理需求，明确数据质量监测的目标。</w:t>
      </w:r>
    </w:p>
    <w:p>
      <w:pPr>
        <w:pStyle w:val="101"/>
        <w:spacing w:beforeLines="0" w:afterLines="0"/>
        <w:rPr>
          <w:rFonts w:ascii="宋体" w:eastAsia="宋体"/>
        </w:rPr>
      </w:pPr>
      <w:r>
        <w:rPr>
          <w:rFonts w:hint="eastAsia" w:ascii="宋体" w:eastAsia="宋体"/>
        </w:rPr>
        <w:t>数据质量监测机构依据业务发展的需求以及常见的数据问题的分析，聚焦关键数据和痛点问题，梳理各类数据的优先级，阶段性划定范围。</w:t>
      </w:r>
    </w:p>
    <w:p>
      <w:pPr>
        <w:pStyle w:val="101"/>
        <w:spacing w:beforeLines="0" w:afterLines="0"/>
        <w:rPr>
          <w:rFonts w:ascii="宋体" w:eastAsia="宋体"/>
        </w:rPr>
      </w:pPr>
      <w:r>
        <w:rPr>
          <w:rFonts w:hint="eastAsia" w:ascii="宋体" w:eastAsia="宋体"/>
        </w:rPr>
        <w:t>数据质量监测机构制定数据质量监测方案，确认数据范围、监测方式、数据存储方式及位置、质量问题更正要求、实施计划等内容。</w:t>
      </w:r>
    </w:p>
    <w:p>
      <w:pPr>
        <w:pStyle w:val="72"/>
        <w:spacing w:before="158" w:after="158"/>
        <w:rPr>
          <w:snapToGrid w:val="0"/>
        </w:rPr>
      </w:pPr>
      <w:r>
        <w:rPr>
          <w:rFonts w:hint="eastAsia"/>
          <w:snapToGrid w:val="0"/>
        </w:rPr>
        <w:t>数据准备</w:t>
      </w:r>
    </w:p>
    <w:p>
      <w:pPr>
        <w:pStyle w:val="101"/>
        <w:spacing w:beforeLines="0" w:afterLines="0"/>
        <w:rPr>
          <w:rFonts w:ascii="宋体" w:eastAsia="宋体"/>
        </w:rPr>
      </w:pPr>
      <w:r>
        <w:rPr>
          <w:rFonts w:hint="eastAsia" w:ascii="宋体" w:eastAsia="宋体"/>
        </w:rPr>
        <w:t>数据质量监测机构与数据责任机构按照监测方案梳理和准备需要监测的数据。</w:t>
      </w:r>
    </w:p>
    <w:p>
      <w:pPr>
        <w:pStyle w:val="101"/>
        <w:spacing w:beforeLines="0" w:afterLines="0"/>
        <w:rPr>
          <w:rFonts w:ascii="宋体" w:eastAsia="宋体"/>
        </w:rPr>
      </w:pPr>
      <w:r>
        <w:rPr>
          <w:rFonts w:hint="eastAsia" w:ascii="宋体" w:eastAsia="宋体"/>
        </w:rPr>
        <w:t>数据准备包括一个或多个数据集，以及数据集对应的数据量、元数据描述、更新周期、对应的数据字典信息以及参考数据等内容。</w:t>
      </w:r>
    </w:p>
    <w:p>
      <w:pPr>
        <w:pStyle w:val="72"/>
        <w:spacing w:before="158" w:after="158"/>
        <w:rPr>
          <w:snapToGrid w:val="0"/>
        </w:rPr>
      </w:pPr>
      <w:r>
        <w:rPr>
          <w:rFonts w:hint="eastAsia"/>
          <w:snapToGrid w:val="0"/>
        </w:rPr>
        <w:t>规则制定</w:t>
      </w:r>
    </w:p>
    <w:p>
      <w:pPr>
        <w:pStyle w:val="101"/>
        <w:spacing w:beforeLines="0" w:afterLines="0"/>
        <w:rPr>
          <w:rFonts w:ascii="宋体" w:eastAsia="宋体"/>
        </w:rPr>
      </w:pPr>
      <w:r>
        <w:rPr>
          <w:rFonts w:hint="eastAsia" w:ascii="宋体" w:eastAsia="宋体"/>
        </w:rPr>
        <w:t>数据质量监测机构分析数据质量的业务需求和数据要求，识别数据质量特性，收集和确认被监测数据集对应的数据标准及业务规范。</w:t>
      </w:r>
    </w:p>
    <w:p>
      <w:pPr>
        <w:pStyle w:val="101"/>
        <w:spacing w:beforeLines="0" w:afterLines="0"/>
        <w:rPr>
          <w:rFonts w:ascii="宋体" w:eastAsia="宋体"/>
        </w:rPr>
      </w:pPr>
      <w:r>
        <w:rPr>
          <w:rFonts w:hint="eastAsia" w:ascii="宋体" w:eastAsia="宋体"/>
        </w:rPr>
        <w:t>数据质量监测机构制定对应的数据质量规则，包括业务规则和技术规则，并确定数据质量监测指标和数据质量规则的权重。</w:t>
      </w:r>
    </w:p>
    <w:p>
      <w:pPr>
        <w:pStyle w:val="101"/>
        <w:spacing w:beforeLines="0" w:afterLines="0"/>
        <w:rPr>
          <w:rFonts w:ascii="宋体" w:eastAsia="宋体"/>
        </w:rPr>
      </w:pPr>
      <w:r>
        <w:rPr>
          <w:rFonts w:hint="eastAsia" w:ascii="宋体" w:eastAsia="宋体"/>
        </w:rPr>
        <w:t>数据质量监测机构将数据质量规则进行技术实现，实现数据质量的自动化监测。</w:t>
      </w:r>
    </w:p>
    <w:p>
      <w:pPr>
        <w:pStyle w:val="169"/>
        <w:numPr>
          <w:ilvl w:val="0"/>
          <w:numId w:val="0"/>
        </w:numPr>
        <w:ind w:firstLine="360" w:firstLineChars="200"/>
        <w:rPr>
          <w:rFonts w:hint="eastAsia"/>
          <w:sz w:val="18"/>
          <w:szCs w:val="18"/>
        </w:rPr>
      </w:pPr>
      <w:r>
        <w:rPr>
          <w:rFonts w:hint="eastAsia" w:ascii="黑体" w:hAnsi="黑体" w:eastAsia="黑体"/>
          <w:sz w:val="18"/>
          <w:szCs w:val="18"/>
          <w:lang w:val="en-US" w:eastAsia="zh-CN"/>
        </w:rPr>
        <w:t>注：</w:t>
      </w:r>
      <w:r>
        <w:rPr>
          <w:rFonts w:hint="eastAsia"/>
          <w:sz w:val="18"/>
          <w:szCs w:val="18"/>
          <w:lang w:val="en-US" w:eastAsia="zh-CN"/>
        </w:rPr>
        <w:t>以</w:t>
      </w:r>
      <w:r>
        <w:rPr>
          <w:rFonts w:hint="eastAsia"/>
          <w:sz w:val="18"/>
          <w:szCs w:val="18"/>
        </w:rPr>
        <w:t>市场主体注册登记数据为例，制定的数据质量规则参见附录</w:t>
      </w:r>
      <w:r>
        <w:rPr>
          <w:rFonts w:hint="eastAsia"/>
          <w:sz w:val="18"/>
          <w:szCs w:val="18"/>
          <w:lang w:val="en-US" w:eastAsia="zh-CN"/>
        </w:rPr>
        <w:t>B</w:t>
      </w:r>
      <w:r>
        <w:rPr>
          <w:rFonts w:hint="eastAsia"/>
          <w:sz w:val="18"/>
          <w:szCs w:val="18"/>
        </w:rPr>
        <w:t>。</w:t>
      </w:r>
    </w:p>
    <w:p>
      <w:pPr>
        <w:pStyle w:val="112"/>
        <w:spacing w:before="158" w:after="158"/>
        <w:rPr>
          <w:rFonts w:ascii="FangSong_GB2312"/>
          <w:snapToGrid w:val="0"/>
        </w:rPr>
      </w:pPr>
      <w:bookmarkStart w:id="90" w:name="_Toc181957968"/>
      <w:bookmarkStart w:id="91" w:name="_Toc13194"/>
      <w:bookmarkStart w:id="92" w:name="_Toc169534518"/>
      <w:r>
        <w:rPr>
          <w:rFonts w:hint="eastAsia" w:ascii="FangSong_GB2312"/>
          <w:snapToGrid w:val="0"/>
        </w:rPr>
        <w:t>监测实施</w:t>
      </w:r>
      <w:bookmarkEnd w:id="90"/>
      <w:bookmarkEnd w:id="91"/>
      <w:bookmarkEnd w:id="92"/>
    </w:p>
    <w:p>
      <w:pPr>
        <w:pStyle w:val="72"/>
        <w:spacing w:before="158" w:after="158"/>
        <w:rPr>
          <w:snapToGrid w:val="0"/>
        </w:rPr>
      </w:pPr>
      <w:r>
        <w:rPr>
          <w:rFonts w:hint="eastAsia"/>
          <w:snapToGrid w:val="0"/>
        </w:rPr>
        <w:t>问题发现</w:t>
      </w:r>
    </w:p>
    <w:p>
      <w:pPr>
        <w:pStyle w:val="101"/>
        <w:spacing w:beforeLines="0" w:afterLines="0"/>
        <w:rPr>
          <w:rFonts w:ascii="宋体" w:eastAsia="宋体"/>
        </w:rPr>
      </w:pPr>
      <w:r>
        <w:rPr>
          <w:rFonts w:hint="eastAsia" w:ascii="宋体" w:eastAsia="宋体"/>
        </w:rPr>
        <w:t>数据质量监测机构根据数据质量监测方案和数据质量规则实施初步监测，发现数据质量问题。</w:t>
      </w:r>
    </w:p>
    <w:p>
      <w:pPr>
        <w:pStyle w:val="101"/>
        <w:spacing w:beforeLines="0" w:afterLines="0"/>
        <w:rPr>
          <w:rFonts w:ascii="宋体" w:eastAsia="宋体"/>
        </w:rPr>
      </w:pPr>
      <w:r>
        <w:rPr>
          <w:rFonts w:hint="eastAsia" w:ascii="宋体" w:eastAsia="宋体"/>
        </w:rPr>
        <w:t>数据质量监测机构结合实际业务情况和初步监测结果，验证、优化和调整数据质量规则，直至数据质量监测结果符合预期效果。</w:t>
      </w:r>
    </w:p>
    <w:p>
      <w:pPr>
        <w:pStyle w:val="101"/>
        <w:spacing w:beforeLines="0" w:afterLines="0"/>
        <w:rPr>
          <w:rFonts w:ascii="宋体" w:eastAsia="宋体"/>
        </w:rPr>
      </w:pPr>
      <w:r>
        <w:rPr>
          <w:rFonts w:hint="eastAsia" w:ascii="宋体" w:eastAsia="宋体"/>
        </w:rPr>
        <w:t>根据验证的数据质量规则监测数据质量，形成正式的质量问题清单。</w:t>
      </w:r>
    </w:p>
    <w:p>
      <w:pPr>
        <w:pStyle w:val="101"/>
        <w:spacing w:beforeLines="0" w:afterLines="0"/>
        <w:rPr>
          <w:rFonts w:ascii="宋体" w:eastAsia="宋体"/>
        </w:rPr>
      </w:pPr>
      <w:r>
        <w:rPr>
          <w:rFonts w:hint="eastAsia" w:ascii="宋体" w:eastAsia="宋体"/>
        </w:rPr>
        <w:t>数据质量监测机构识别数据质量问题的根本原因，包括但不限于信息原因、流程原因、技术原因和人员原因。</w:t>
      </w:r>
    </w:p>
    <w:p>
      <w:pPr>
        <w:pStyle w:val="281"/>
        <w:keepNext w:val="0"/>
        <w:keepLines w:val="0"/>
        <w:pageBreakBefore w:val="0"/>
        <w:widowControl/>
        <w:numPr>
          <w:ilvl w:val="0"/>
          <w:numId w:val="36"/>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信息原因指数据规范性异常，包括数据标准异常、业务规则异常、变化频率异常等；</w:t>
      </w:r>
    </w:p>
    <w:p>
      <w:pPr>
        <w:pStyle w:val="281"/>
        <w:keepNext w:val="0"/>
        <w:keepLines w:val="0"/>
        <w:pageBreakBefore w:val="0"/>
        <w:widowControl/>
        <w:numPr>
          <w:ilvl w:val="0"/>
          <w:numId w:val="36"/>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流程原因指信息系统处理流程和人工操作流程设置不当，包括数据的创建、传递、装载、使用、维护等流程；</w:t>
      </w:r>
    </w:p>
    <w:p>
      <w:pPr>
        <w:pStyle w:val="281"/>
        <w:keepNext w:val="0"/>
        <w:keepLines w:val="0"/>
        <w:pageBreakBefore w:val="0"/>
        <w:widowControl/>
        <w:numPr>
          <w:ilvl w:val="0"/>
          <w:numId w:val="36"/>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技术原因指数据处理各技术环节的异常，包括业务系统数据校验规则设计不当、数据存储能力有限等，主要涉及数据创建、数据获取、数据传输、数据装载、数据应用、数据维护等环节；</w:t>
      </w:r>
    </w:p>
    <w:p>
      <w:pPr>
        <w:pStyle w:val="281"/>
        <w:keepNext w:val="0"/>
        <w:keepLines w:val="0"/>
        <w:pageBreakBefore w:val="0"/>
        <w:widowControl/>
        <w:numPr>
          <w:ilvl w:val="0"/>
          <w:numId w:val="36"/>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人员原因指人员及管理机制不足，包括人员培训缺失、责任不明确、激励与反馈机制不足等。</w:t>
      </w:r>
    </w:p>
    <w:p>
      <w:pPr>
        <w:pStyle w:val="101"/>
        <w:spacing w:beforeLines="0" w:afterLines="0"/>
        <w:rPr>
          <w:rFonts w:ascii="宋体" w:eastAsia="宋体"/>
        </w:rPr>
      </w:pPr>
      <w:r>
        <w:rPr>
          <w:rFonts w:hint="eastAsia" w:ascii="宋体" w:eastAsia="宋体"/>
        </w:rPr>
        <w:t>数据质量监测机构识别数据质量问题的影响程度，根据数据质量问题的描述和数据应用价值链分析，评估数据质量对业务协同、数据应用等方面的影响，形成数据质量问题影响分析。</w:t>
      </w:r>
    </w:p>
    <w:p>
      <w:pPr>
        <w:pStyle w:val="101"/>
        <w:spacing w:beforeLines="0" w:afterLines="0"/>
        <w:rPr>
          <w:rFonts w:ascii="宋体" w:eastAsia="宋体"/>
        </w:rPr>
      </w:pPr>
      <w:r>
        <w:rPr>
          <w:rFonts w:hint="eastAsia" w:ascii="宋体" w:eastAsia="宋体"/>
        </w:rPr>
        <w:t>数据质量监测机构研判的质量问题，研判后进行问题分类和汇总，形成质量问题工单。</w:t>
      </w:r>
    </w:p>
    <w:p>
      <w:pPr>
        <w:pStyle w:val="72"/>
        <w:spacing w:before="158" w:after="158"/>
        <w:rPr>
          <w:snapToGrid w:val="0"/>
        </w:rPr>
      </w:pPr>
      <w:r>
        <w:rPr>
          <w:rFonts w:hint="eastAsia"/>
          <w:snapToGrid w:val="0"/>
        </w:rPr>
        <w:t>问题处置</w:t>
      </w:r>
    </w:p>
    <w:p>
      <w:pPr>
        <w:pStyle w:val="101"/>
        <w:spacing w:beforeLines="0" w:afterLines="0"/>
        <w:rPr>
          <w:rFonts w:ascii="宋体" w:eastAsia="宋体"/>
        </w:rPr>
      </w:pPr>
      <w:r>
        <w:rPr>
          <w:rFonts w:hint="eastAsia" w:ascii="宋体" w:eastAsia="宋体"/>
        </w:rPr>
        <w:t>数据质量监测机构将质量问题工单派发至数据责任机构，宜采用线上系统的反馈方式，保障数据安全。</w:t>
      </w:r>
    </w:p>
    <w:p>
      <w:pPr>
        <w:pStyle w:val="101"/>
        <w:spacing w:beforeLines="0" w:afterLines="0"/>
        <w:rPr>
          <w:rFonts w:ascii="宋体" w:eastAsia="宋体"/>
        </w:rPr>
      </w:pPr>
      <w:r>
        <w:rPr>
          <w:rFonts w:hint="eastAsia" w:ascii="宋体" w:eastAsia="宋体"/>
        </w:rPr>
        <w:t>数据责任机构在规定时间内接收质量问题工单。</w:t>
      </w:r>
    </w:p>
    <w:p>
      <w:pPr>
        <w:pStyle w:val="101"/>
        <w:spacing w:beforeLines="0" w:afterLines="0"/>
        <w:rPr>
          <w:rFonts w:ascii="宋体" w:eastAsia="宋体"/>
        </w:rPr>
      </w:pPr>
      <w:r>
        <w:rPr>
          <w:rFonts w:hint="eastAsia" w:ascii="宋体" w:eastAsia="宋体"/>
        </w:rPr>
        <w:t>数据责任机构在规定时间内处理质量问题，并更新问题工单状态。问题处置状态包括如下几种：</w:t>
      </w:r>
    </w:p>
    <w:p>
      <w:pPr>
        <w:pStyle w:val="281"/>
        <w:keepNext w:val="0"/>
        <w:keepLines w:val="0"/>
        <w:pageBreakBefore w:val="0"/>
        <w:widowControl/>
        <w:numPr>
          <w:ilvl w:val="0"/>
          <w:numId w:val="37"/>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如确认是数据质量问题，则按照实际情况进行数据更正，问题工单更新为已修复；</w:t>
      </w:r>
    </w:p>
    <w:p>
      <w:pPr>
        <w:pStyle w:val="281"/>
        <w:keepNext w:val="0"/>
        <w:keepLines w:val="0"/>
        <w:pageBreakBefore w:val="0"/>
        <w:widowControl/>
        <w:numPr>
          <w:ilvl w:val="0"/>
          <w:numId w:val="37"/>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如确认不是数据质量问题，则提供原因说明，问题工单更新为关闭；</w:t>
      </w:r>
    </w:p>
    <w:p>
      <w:pPr>
        <w:pStyle w:val="281"/>
        <w:keepNext w:val="0"/>
        <w:keepLines w:val="0"/>
        <w:pageBreakBefore w:val="0"/>
        <w:widowControl/>
        <w:numPr>
          <w:ilvl w:val="0"/>
          <w:numId w:val="37"/>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对于短期内无法修复的数据质量问题，则提供原因说明，问题工单更新为暂缓修复。</w:t>
      </w:r>
    </w:p>
    <w:p>
      <w:pPr>
        <w:pStyle w:val="101"/>
        <w:spacing w:beforeLines="0" w:afterLines="0"/>
        <w:rPr>
          <w:rFonts w:ascii="宋体" w:eastAsia="宋体"/>
        </w:rPr>
      </w:pPr>
      <w:r>
        <w:rPr>
          <w:rFonts w:hint="eastAsia" w:ascii="宋体" w:eastAsia="宋体"/>
        </w:rPr>
        <w:t>属于数据个案差错的，数据责任机构在源头进行数据更正，并及时向数据质量监测机构提供更正后的正确数据；属于系统性的数据质量问题，应由数据责任机构和数据监测机构共同分析研判，制定并实施更正措施。</w:t>
      </w:r>
    </w:p>
    <w:p>
      <w:pPr>
        <w:pStyle w:val="101"/>
        <w:spacing w:beforeLines="0" w:afterLines="0"/>
        <w:rPr>
          <w:rFonts w:ascii="宋体" w:eastAsia="宋体"/>
        </w:rPr>
      </w:pPr>
      <w:r>
        <w:rPr>
          <w:rFonts w:hint="eastAsia" w:ascii="宋体" w:eastAsia="宋体"/>
        </w:rPr>
        <w:t>数据质量监测机构与数据责任机构应保存数据质量问题的更正记录，便于后期追溯和管理。</w:t>
      </w:r>
    </w:p>
    <w:p>
      <w:pPr>
        <w:pStyle w:val="72"/>
        <w:spacing w:before="158" w:after="158"/>
        <w:rPr>
          <w:snapToGrid w:val="0"/>
        </w:rPr>
      </w:pPr>
      <w:r>
        <w:rPr>
          <w:rFonts w:hint="eastAsia"/>
          <w:snapToGrid w:val="0"/>
        </w:rPr>
        <w:t>复测核验</w:t>
      </w:r>
    </w:p>
    <w:p>
      <w:pPr>
        <w:pStyle w:val="101"/>
        <w:spacing w:beforeLines="0" w:afterLines="0"/>
        <w:rPr>
          <w:rFonts w:ascii="宋体" w:eastAsia="宋体"/>
        </w:rPr>
      </w:pPr>
      <w:r>
        <w:rPr>
          <w:rFonts w:hint="eastAsia" w:ascii="宋体" w:eastAsia="宋体"/>
        </w:rPr>
        <w:t>数据质量监测机构根据工单的完成情况，对质量问题的整改效果进行核验。</w:t>
      </w:r>
    </w:p>
    <w:p>
      <w:pPr>
        <w:pStyle w:val="101"/>
        <w:spacing w:beforeLines="0" w:afterLines="0"/>
        <w:rPr>
          <w:rFonts w:ascii="宋体" w:eastAsia="宋体"/>
        </w:rPr>
      </w:pPr>
      <w:r>
        <w:rPr>
          <w:rFonts w:hint="eastAsia" w:ascii="宋体" w:eastAsia="宋体"/>
        </w:rPr>
        <w:t>针对复测核验不通过的问题工单，由数据质量监测机构发回数据责任机构继续进行数据更正。</w:t>
      </w:r>
    </w:p>
    <w:p>
      <w:pPr>
        <w:pStyle w:val="101"/>
        <w:spacing w:beforeLines="0" w:afterLines="0"/>
        <w:rPr>
          <w:rFonts w:ascii="宋体" w:eastAsia="宋体"/>
        </w:rPr>
      </w:pPr>
      <w:r>
        <w:rPr>
          <w:rFonts w:hint="eastAsia" w:ascii="宋体" w:eastAsia="宋体"/>
        </w:rPr>
        <w:t>针对复测核验通过的工单，数据质量监测机构自动关闭问题工单。</w:t>
      </w:r>
    </w:p>
    <w:p>
      <w:pPr>
        <w:pStyle w:val="112"/>
        <w:spacing w:before="158" w:after="158"/>
        <w:rPr>
          <w:snapToGrid w:val="0"/>
        </w:rPr>
      </w:pPr>
      <w:bookmarkStart w:id="93" w:name="_Toc169534519"/>
      <w:bookmarkStart w:id="94" w:name="_Toc27391"/>
      <w:bookmarkStart w:id="95" w:name="_Toc181957969"/>
      <w:r>
        <w:rPr>
          <w:rFonts w:hint="eastAsia"/>
          <w:snapToGrid w:val="0"/>
        </w:rPr>
        <w:t>综合评价</w:t>
      </w:r>
      <w:bookmarkEnd w:id="93"/>
      <w:bookmarkEnd w:id="94"/>
      <w:bookmarkEnd w:id="95"/>
    </w:p>
    <w:p>
      <w:pPr>
        <w:pStyle w:val="172"/>
      </w:pPr>
      <w:r>
        <w:rPr>
          <w:rFonts w:hint="eastAsia"/>
        </w:rPr>
        <w:t>数据质量监测机构应定期评价数据质量监测工作的实际成效，发布数据质量评价报告。</w:t>
      </w:r>
    </w:p>
    <w:p>
      <w:pPr>
        <w:pStyle w:val="172"/>
      </w:pPr>
      <w:r>
        <w:rPr>
          <w:rFonts w:hint="eastAsia"/>
        </w:rPr>
        <w:t>数据质量评价报告应遵循科学性、客观性、合理性和全面性。</w:t>
      </w:r>
    </w:p>
    <w:p>
      <w:pPr>
        <w:pStyle w:val="172"/>
      </w:pPr>
      <w:r>
        <w:rPr>
          <w:rFonts w:hint="eastAsia"/>
        </w:rPr>
        <w:t>数据质量评价报告应包括报告范围、评价结果、数据质量规则清单、问题案例清单、监测依据、问题分类等内容。数据质量评价报告要素及说明参见附录</w:t>
      </w:r>
      <w:r>
        <w:rPr>
          <w:rFonts w:hint="eastAsia"/>
          <w:lang w:val="en-US" w:eastAsia="zh-CN"/>
        </w:rPr>
        <w:t>C</w:t>
      </w:r>
      <w:r>
        <w:rPr>
          <w:rFonts w:hint="eastAsia"/>
        </w:rPr>
        <w:t>。</w:t>
      </w:r>
    </w:p>
    <w:p>
      <w:pPr>
        <w:pStyle w:val="172"/>
      </w:pPr>
      <w:r>
        <w:rPr>
          <w:rFonts w:hint="eastAsia"/>
        </w:rPr>
        <w:t>数据质量评价报告中的评价结果应采用可量化的方法客观反映数据质量监测工作的实际情况，具体</w:t>
      </w:r>
      <w:r>
        <w:rPr>
          <w:rFonts w:hint="eastAsia"/>
          <w:lang w:val="en-US" w:eastAsia="zh-CN"/>
        </w:rPr>
        <w:t>评价</w:t>
      </w:r>
      <w:r>
        <w:rPr>
          <w:rFonts w:hint="eastAsia"/>
        </w:rPr>
        <w:t>方法参见附录</w:t>
      </w:r>
      <w:r>
        <w:rPr>
          <w:rFonts w:hint="eastAsia"/>
          <w:lang w:val="en-US" w:eastAsia="zh-CN"/>
        </w:rPr>
        <w:t>C</w:t>
      </w:r>
      <w:r>
        <w:rPr>
          <w:rFonts w:hint="eastAsia"/>
        </w:rPr>
        <w:t>。</w:t>
      </w:r>
    </w:p>
    <w:p>
      <w:pPr>
        <w:pStyle w:val="112"/>
        <w:spacing w:before="158" w:after="158"/>
        <w:rPr>
          <w:snapToGrid w:val="0"/>
        </w:rPr>
      </w:pPr>
      <w:bookmarkStart w:id="96" w:name="_Toc181957970"/>
      <w:bookmarkStart w:id="97" w:name="_Toc11559"/>
      <w:r>
        <w:rPr>
          <w:rFonts w:hint="eastAsia"/>
          <w:snapToGrid w:val="0"/>
        </w:rPr>
        <w:t>结果应用</w:t>
      </w:r>
      <w:bookmarkEnd w:id="96"/>
      <w:bookmarkEnd w:id="97"/>
    </w:p>
    <w:p>
      <w:pPr>
        <w:pStyle w:val="172"/>
      </w:pPr>
      <w:r>
        <w:rPr>
          <w:rFonts w:hint="eastAsia"/>
        </w:rPr>
        <w:t>数据质量监测机构应根据数据质量监测实际结果，制定下一阶段数据质量监测工作的目标。</w:t>
      </w:r>
    </w:p>
    <w:p>
      <w:pPr>
        <w:pStyle w:val="172"/>
      </w:pPr>
      <w:r>
        <w:rPr>
          <w:rFonts w:hint="eastAsia"/>
        </w:rPr>
        <w:t>数据质量监测机构宜收集整理各类数据质量知识、经验和案例，形成数据质量知识库，并通过相关培训、宣讲等活动宣传数据质量监测经验做法，持续提升市场监管数据质量治理能力。</w:t>
      </w:r>
    </w:p>
    <w:p>
      <w:pPr>
        <w:pStyle w:val="172"/>
        <w:sectPr>
          <w:headerReference r:id="rId10" w:type="default"/>
          <w:footerReference r:id="rId12" w:type="default"/>
          <w:headerReference r:id="rId11" w:type="even"/>
          <w:footerReference r:id="rId13" w:type="even"/>
          <w:pgSz w:w="11906" w:h="16838"/>
          <w:pgMar w:top="1417" w:right="1134" w:bottom="1134" w:left="1417" w:header="1417" w:footer="1134" w:gutter="283"/>
          <w:pgNumType w:start="1"/>
          <w:cols w:space="0" w:num="1"/>
          <w:formProt w:val="0"/>
          <w:docGrid w:type="lines" w:linePitch="317" w:charSpace="0"/>
        </w:sectPr>
      </w:pPr>
      <w:r>
        <w:rPr>
          <w:rFonts w:hint="eastAsia"/>
        </w:rPr>
        <w:t>数据责任机构宜根据数据质量评价报告，分析数据质量问题的根本原因，持续提升源头数据质量，进而提高工作与决策的科学性、准确性，为数字政府建设提供支撑。</w:t>
      </w:r>
      <w:bookmarkEnd w:id="4"/>
      <w:bookmarkStart w:id="98" w:name="BookMark5"/>
    </w:p>
    <w:p>
      <w:pPr>
        <w:pStyle w:val="83"/>
        <w:keepNext w:val="0"/>
        <w:keepLines w:val="0"/>
        <w:pageBreakBefore w:val="0"/>
        <w:widowControl/>
        <w:kinsoku/>
        <w:wordWrap/>
        <w:overflowPunct/>
        <w:topLinePunct w:val="0"/>
        <w:autoSpaceDE/>
        <w:autoSpaceDN/>
        <w:bidi w:val="0"/>
        <w:adjustRightInd/>
        <w:snapToGrid/>
        <w:spacing w:before="567" w:afterLines="0"/>
        <w:textAlignment w:val="auto"/>
      </w:pPr>
      <w:bookmarkStart w:id="99" w:name="_Toc22408"/>
      <w:bookmarkStart w:id="100" w:name="_Toc169534521"/>
      <w:bookmarkStart w:id="101" w:name="_Toc27120"/>
      <w:bookmarkStart w:id="102" w:name="_Toc31437"/>
    </w:p>
    <w:p>
      <w:pPr>
        <w:pStyle w:val="83"/>
        <w:keepNext w:val="0"/>
        <w:keepLines w:val="0"/>
        <w:pageBreakBefore w:val="0"/>
        <w:widowControl/>
        <w:numPr>
          <w:ilvl w:val="0"/>
          <w:numId w:val="0"/>
        </w:numPr>
        <w:kinsoku/>
        <w:wordWrap/>
        <w:overflowPunct/>
        <w:topLinePunct w:val="0"/>
        <w:autoSpaceDE/>
        <w:autoSpaceDN/>
        <w:bidi w:val="0"/>
        <w:adjustRightInd/>
        <w:snapToGrid/>
        <w:spacing w:before="0" w:afterLines="0"/>
        <w:ind w:leftChars="0"/>
        <w:jc w:val="center"/>
        <w:textAlignment w:val="auto"/>
        <w:rPr>
          <w:rFonts w:hint="eastAsia"/>
        </w:rPr>
      </w:pPr>
      <w:bookmarkStart w:id="103" w:name="_Toc181957971"/>
      <w:r>
        <w:rPr>
          <w:rFonts w:hint="eastAsia"/>
        </w:rPr>
        <w:t>（资料性）</w:t>
      </w:r>
    </w:p>
    <w:p>
      <w:pPr>
        <w:pStyle w:val="83"/>
        <w:keepNext w:val="0"/>
        <w:keepLines w:val="0"/>
        <w:pageBreakBefore w:val="0"/>
        <w:widowControl/>
        <w:numPr>
          <w:ilvl w:val="0"/>
          <w:numId w:val="0"/>
        </w:numPr>
        <w:kinsoku/>
        <w:wordWrap/>
        <w:overflowPunct/>
        <w:topLinePunct w:val="0"/>
        <w:autoSpaceDE/>
        <w:autoSpaceDN/>
        <w:bidi w:val="0"/>
        <w:adjustRightInd/>
        <w:snapToGrid/>
        <w:spacing w:before="0" w:after="284" w:afterLines="0"/>
        <w:ind w:leftChars="0"/>
        <w:jc w:val="center"/>
        <w:textAlignment w:val="auto"/>
      </w:pPr>
      <w:r>
        <w:rPr>
          <w:rFonts w:hint="eastAsia"/>
        </w:rPr>
        <w:t>数据质量监测指标及权重设置</w:t>
      </w:r>
      <w:bookmarkEnd w:id="99"/>
      <w:bookmarkEnd w:id="100"/>
      <w:bookmarkEnd w:id="103"/>
    </w:p>
    <w:p>
      <w:pPr>
        <w:pStyle w:val="63"/>
        <w:ind w:firstLine="420"/>
      </w:pPr>
      <w:r>
        <w:rPr>
          <w:rFonts w:hint="eastAsia"/>
        </w:rPr>
        <w:t>数据质量监测指标及权重设置见表A.1，可根据实际情况调整。</w:t>
      </w:r>
    </w:p>
    <w:p>
      <w:pPr>
        <w:pStyle w:val="84"/>
        <w:spacing w:before="158" w:after="158"/>
      </w:pPr>
      <w:r>
        <w:rPr>
          <w:rFonts w:hint="eastAsia"/>
          <w:lang w:val="en-US" w:eastAsia="zh-CN"/>
        </w:rPr>
        <w:t xml:space="preserve"> </w:t>
      </w:r>
      <w:r>
        <w:rPr>
          <w:rFonts w:hint="eastAsia"/>
        </w:rPr>
        <w:t>数据质量监测指标及权重设置</w:t>
      </w:r>
    </w:p>
    <w:tbl>
      <w:tblPr>
        <w:tblStyle w:val="32"/>
        <w:tblW w:w="5000" w:type="pct"/>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164"/>
        <w:gridCol w:w="1065"/>
        <w:gridCol w:w="1753"/>
        <w:gridCol w:w="1091"/>
        <w:gridCol w:w="3496"/>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387" w:type="pct"/>
            <w:vAlign w:val="center"/>
          </w:tcPr>
          <w:p>
            <w:pPr>
              <w:pStyle w:val="63"/>
              <w:ind w:firstLine="0" w:firstLineChars="0"/>
              <w:rPr>
                <w:b/>
              </w:rPr>
            </w:pPr>
            <w:r>
              <w:rPr>
                <w:rFonts w:hint="eastAsia"/>
                <w:b/>
              </w:rPr>
              <w:t>序号</w:t>
            </w:r>
          </w:p>
        </w:tc>
        <w:tc>
          <w:tcPr>
            <w:tcW w:w="626" w:type="pct"/>
            <w:vAlign w:val="center"/>
          </w:tcPr>
          <w:p>
            <w:pPr>
              <w:pStyle w:val="63"/>
              <w:ind w:firstLine="0" w:firstLineChars="0"/>
              <w:rPr>
                <w:b/>
              </w:rPr>
            </w:pPr>
            <w:r>
              <w:rPr>
                <w:rFonts w:hint="eastAsia"/>
                <w:b/>
              </w:rPr>
              <w:t>一级指标</w:t>
            </w:r>
          </w:p>
        </w:tc>
        <w:tc>
          <w:tcPr>
            <w:tcW w:w="573" w:type="pct"/>
            <w:vAlign w:val="center"/>
          </w:tcPr>
          <w:p>
            <w:pPr>
              <w:pStyle w:val="63"/>
              <w:ind w:firstLine="0" w:firstLineChars="0"/>
              <w:rPr>
                <w:b/>
              </w:rPr>
            </w:pPr>
            <w:r>
              <w:rPr>
                <w:rFonts w:hint="eastAsia"/>
                <w:b/>
              </w:rPr>
              <w:t>指标权重</w:t>
            </w:r>
          </w:p>
        </w:tc>
        <w:tc>
          <w:tcPr>
            <w:tcW w:w="943" w:type="pct"/>
            <w:vAlign w:val="center"/>
          </w:tcPr>
          <w:p>
            <w:pPr>
              <w:pStyle w:val="63"/>
              <w:ind w:firstLine="0" w:firstLineChars="0"/>
              <w:rPr>
                <w:b/>
              </w:rPr>
            </w:pPr>
            <w:r>
              <w:rPr>
                <w:rFonts w:hint="eastAsia"/>
                <w:b/>
              </w:rPr>
              <w:t>二级指标</w:t>
            </w:r>
          </w:p>
        </w:tc>
        <w:tc>
          <w:tcPr>
            <w:tcW w:w="587" w:type="pct"/>
            <w:vAlign w:val="center"/>
          </w:tcPr>
          <w:p>
            <w:pPr>
              <w:pStyle w:val="63"/>
              <w:ind w:firstLine="0" w:firstLineChars="0"/>
              <w:rPr>
                <w:b/>
              </w:rPr>
            </w:pPr>
            <w:r>
              <w:rPr>
                <w:rFonts w:hint="eastAsia"/>
                <w:b/>
              </w:rPr>
              <w:t>指标权重</w:t>
            </w:r>
          </w:p>
        </w:tc>
        <w:tc>
          <w:tcPr>
            <w:tcW w:w="1881" w:type="pct"/>
            <w:vAlign w:val="center"/>
          </w:tcPr>
          <w:p>
            <w:pPr>
              <w:pStyle w:val="63"/>
              <w:ind w:firstLine="0" w:firstLineChars="0"/>
              <w:rPr>
                <w:b/>
              </w:rPr>
            </w:pPr>
            <w:r>
              <w:rPr>
                <w:rFonts w:hint="eastAsia"/>
                <w:b/>
              </w:rPr>
              <w:t>计算方法</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387" w:type="pct"/>
            <w:vAlign w:val="center"/>
          </w:tcPr>
          <w:p>
            <w:pPr>
              <w:pStyle w:val="63"/>
              <w:ind w:firstLine="0" w:firstLineChars="0"/>
              <w:jc w:val="center"/>
            </w:pPr>
            <w:r>
              <w:rPr>
                <w:rFonts w:hint="eastAsia"/>
              </w:rPr>
              <w:t>1</w:t>
            </w:r>
          </w:p>
        </w:tc>
        <w:tc>
          <w:tcPr>
            <w:tcW w:w="626" w:type="pct"/>
            <w:vMerge w:val="restart"/>
            <w:vAlign w:val="center"/>
          </w:tcPr>
          <w:p>
            <w:pPr>
              <w:pStyle w:val="63"/>
              <w:ind w:firstLine="0" w:firstLineChars="0"/>
            </w:pPr>
            <w:r>
              <w:rPr>
                <w:rFonts w:hint="eastAsia"/>
              </w:rPr>
              <w:t>数据质量指标</w:t>
            </w:r>
          </w:p>
        </w:tc>
        <w:tc>
          <w:tcPr>
            <w:tcW w:w="573" w:type="pct"/>
            <w:vMerge w:val="restart"/>
            <w:vAlign w:val="center"/>
          </w:tcPr>
          <w:p>
            <w:pPr>
              <w:pStyle w:val="63"/>
              <w:ind w:firstLine="0" w:firstLineChars="0"/>
            </w:pPr>
            <w:r>
              <w:t>70</w:t>
            </w:r>
          </w:p>
        </w:tc>
        <w:tc>
          <w:tcPr>
            <w:tcW w:w="943" w:type="pct"/>
            <w:vAlign w:val="center"/>
          </w:tcPr>
          <w:p>
            <w:pPr>
              <w:pStyle w:val="63"/>
              <w:ind w:firstLine="0" w:firstLineChars="0"/>
            </w:pPr>
            <w:r>
              <w:rPr>
                <w:rFonts w:hint="eastAsia"/>
              </w:rPr>
              <w:t>规范性</w:t>
            </w:r>
          </w:p>
        </w:tc>
        <w:tc>
          <w:tcPr>
            <w:tcW w:w="587" w:type="pct"/>
            <w:vAlign w:val="center"/>
          </w:tcPr>
          <w:p>
            <w:pPr>
              <w:pStyle w:val="63"/>
              <w:ind w:firstLine="0" w:firstLineChars="0"/>
            </w:pPr>
            <w:r>
              <w:rPr>
                <w:rFonts w:hint="eastAsia"/>
              </w:rPr>
              <w:t>2</w:t>
            </w:r>
            <w:r>
              <w:t>0</w:t>
            </w:r>
          </w:p>
        </w:tc>
        <w:tc>
          <w:tcPr>
            <w:tcW w:w="1881" w:type="pct"/>
            <w:vAlign w:val="center"/>
          </w:tcPr>
          <w:p>
            <w:pPr>
              <w:pStyle w:val="63"/>
              <w:ind w:firstLine="0" w:firstLineChars="0"/>
            </w:pPr>
            <w:r>
              <w:rPr>
                <w:rFonts w:hint="eastAsia"/>
              </w:rPr>
              <w:t>符合规范性规则的数据量/监测数据集的全部数据量</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387" w:type="pct"/>
            <w:vAlign w:val="center"/>
          </w:tcPr>
          <w:p>
            <w:pPr>
              <w:pStyle w:val="63"/>
              <w:ind w:firstLine="0" w:firstLineChars="0"/>
              <w:jc w:val="center"/>
            </w:pPr>
            <w:r>
              <w:rPr>
                <w:rFonts w:hint="eastAsia"/>
              </w:rPr>
              <w:t>2</w:t>
            </w:r>
          </w:p>
        </w:tc>
        <w:tc>
          <w:tcPr>
            <w:tcW w:w="626" w:type="pct"/>
            <w:vMerge w:val="continue"/>
            <w:vAlign w:val="center"/>
          </w:tcPr>
          <w:p>
            <w:pPr>
              <w:pStyle w:val="63"/>
              <w:ind w:firstLine="0" w:firstLineChars="0"/>
            </w:pPr>
          </w:p>
        </w:tc>
        <w:tc>
          <w:tcPr>
            <w:tcW w:w="573" w:type="pct"/>
            <w:vMerge w:val="continue"/>
            <w:vAlign w:val="center"/>
          </w:tcPr>
          <w:p>
            <w:pPr>
              <w:pStyle w:val="63"/>
              <w:ind w:firstLine="0" w:firstLineChars="0"/>
            </w:pPr>
          </w:p>
        </w:tc>
        <w:tc>
          <w:tcPr>
            <w:tcW w:w="943" w:type="pct"/>
            <w:vAlign w:val="center"/>
          </w:tcPr>
          <w:p>
            <w:pPr>
              <w:pStyle w:val="63"/>
              <w:ind w:firstLine="0" w:firstLineChars="0"/>
            </w:pPr>
            <w:r>
              <w:rPr>
                <w:rFonts w:hint="eastAsia"/>
              </w:rPr>
              <w:t>完整性</w:t>
            </w:r>
          </w:p>
        </w:tc>
        <w:tc>
          <w:tcPr>
            <w:tcW w:w="587" w:type="pct"/>
            <w:vAlign w:val="center"/>
          </w:tcPr>
          <w:p>
            <w:pPr>
              <w:pStyle w:val="63"/>
              <w:ind w:firstLine="0" w:firstLineChars="0"/>
            </w:pPr>
            <w:r>
              <w:rPr>
                <w:rFonts w:hint="eastAsia"/>
              </w:rPr>
              <w:t>2</w:t>
            </w:r>
            <w:r>
              <w:t>0</w:t>
            </w:r>
          </w:p>
        </w:tc>
        <w:tc>
          <w:tcPr>
            <w:tcW w:w="1881" w:type="pct"/>
            <w:vAlign w:val="center"/>
          </w:tcPr>
          <w:p>
            <w:pPr>
              <w:pStyle w:val="63"/>
              <w:ind w:firstLine="0" w:firstLineChars="0"/>
            </w:pPr>
            <w:r>
              <w:rPr>
                <w:rFonts w:hint="eastAsia"/>
              </w:rPr>
              <w:t>符合完整性规则的数据量/监测数据集的全部数据量</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387" w:type="pct"/>
            <w:vAlign w:val="center"/>
          </w:tcPr>
          <w:p>
            <w:pPr>
              <w:pStyle w:val="63"/>
              <w:ind w:firstLine="0" w:firstLineChars="0"/>
              <w:jc w:val="center"/>
            </w:pPr>
            <w:r>
              <w:rPr>
                <w:rFonts w:hint="eastAsia"/>
              </w:rPr>
              <w:t>3</w:t>
            </w:r>
          </w:p>
        </w:tc>
        <w:tc>
          <w:tcPr>
            <w:tcW w:w="626" w:type="pct"/>
            <w:vMerge w:val="continue"/>
            <w:vAlign w:val="center"/>
          </w:tcPr>
          <w:p>
            <w:pPr>
              <w:pStyle w:val="63"/>
              <w:ind w:firstLine="0" w:firstLineChars="0"/>
            </w:pPr>
          </w:p>
        </w:tc>
        <w:tc>
          <w:tcPr>
            <w:tcW w:w="573" w:type="pct"/>
            <w:vMerge w:val="continue"/>
            <w:vAlign w:val="center"/>
          </w:tcPr>
          <w:p>
            <w:pPr>
              <w:pStyle w:val="63"/>
              <w:ind w:firstLine="0" w:firstLineChars="0"/>
            </w:pPr>
          </w:p>
        </w:tc>
        <w:tc>
          <w:tcPr>
            <w:tcW w:w="943" w:type="pct"/>
            <w:vAlign w:val="center"/>
          </w:tcPr>
          <w:p>
            <w:pPr>
              <w:pStyle w:val="63"/>
              <w:ind w:firstLine="0" w:firstLineChars="0"/>
            </w:pPr>
            <w:r>
              <w:rPr>
                <w:rFonts w:hint="eastAsia"/>
              </w:rPr>
              <w:t>准确性</w:t>
            </w:r>
          </w:p>
        </w:tc>
        <w:tc>
          <w:tcPr>
            <w:tcW w:w="587" w:type="pct"/>
            <w:vAlign w:val="center"/>
          </w:tcPr>
          <w:p>
            <w:pPr>
              <w:pStyle w:val="63"/>
              <w:ind w:firstLine="0" w:firstLineChars="0"/>
            </w:pPr>
            <w:r>
              <w:rPr>
                <w:rFonts w:hint="eastAsia"/>
              </w:rPr>
              <w:t>3</w:t>
            </w:r>
            <w:r>
              <w:t>0</w:t>
            </w:r>
          </w:p>
        </w:tc>
        <w:tc>
          <w:tcPr>
            <w:tcW w:w="1881" w:type="pct"/>
            <w:vAlign w:val="center"/>
          </w:tcPr>
          <w:p>
            <w:pPr>
              <w:pStyle w:val="63"/>
              <w:ind w:firstLine="0" w:firstLineChars="0"/>
            </w:pPr>
            <w:r>
              <w:rPr>
                <w:rFonts w:hint="eastAsia"/>
              </w:rPr>
              <w:t>符合准确性规则的数据量/监测数据集的全部数据量</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387" w:type="pct"/>
            <w:vAlign w:val="center"/>
          </w:tcPr>
          <w:p>
            <w:pPr>
              <w:pStyle w:val="63"/>
              <w:ind w:firstLine="0" w:firstLineChars="0"/>
              <w:jc w:val="center"/>
            </w:pPr>
            <w:r>
              <w:rPr>
                <w:rFonts w:hint="eastAsia"/>
              </w:rPr>
              <w:t>4</w:t>
            </w:r>
          </w:p>
        </w:tc>
        <w:tc>
          <w:tcPr>
            <w:tcW w:w="626" w:type="pct"/>
            <w:vMerge w:val="continue"/>
            <w:vAlign w:val="center"/>
          </w:tcPr>
          <w:p>
            <w:pPr>
              <w:pStyle w:val="63"/>
              <w:ind w:firstLine="0" w:firstLineChars="0"/>
            </w:pPr>
          </w:p>
        </w:tc>
        <w:tc>
          <w:tcPr>
            <w:tcW w:w="573" w:type="pct"/>
            <w:vMerge w:val="continue"/>
            <w:vAlign w:val="center"/>
          </w:tcPr>
          <w:p>
            <w:pPr>
              <w:pStyle w:val="63"/>
              <w:ind w:firstLine="0" w:firstLineChars="0"/>
            </w:pPr>
          </w:p>
        </w:tc>
        <w:tc>
          <w:tcPr>
            <w:tcW w:w="943" w:type="pct"/>
            <w:vAlign w:val="center"/>
          </w:tcPr>
          <w:p>
            <w:pPr>
              <w:pStyle w:val="63"/>
              <w:ind w:firstLine="0" w:firstLineChars="0"/>
            </w:pPr>
            <w:r>
              <w:rPr>
                <w:rFonts w:hint="eastAsia"/>
              </w:rPr>
              <w:t>一致性</w:t>
            </w:r>
          </w:p>
        </w:tc>
        <w:tc>
          <w:tcPr>
            <w:tcW w:w="587" w:type="pct"/>
            <w:vAlign w:val="center"/>
          </w:tcPr>
          <w:p>
            <w:pPr>
              <w:pStyle w:val="63"/>
              <w:ind w:firstLine="0" w:firstLineChars="0"/>
            </w:pPr>
            <w:r>
              <w:rPr>
                <w:rFonts w:hint="eastAsia"/>
              </w:rPr>
              <w:t>1</w:t>
            </w:r>
            <w:r>
              <w:t>5</w:t>
            </w:r>
          </w:p>
        </w:tc>
        <w:tc>
          <w:tcPr>
            <w:tcW w:w="1881" w:type="pct"/>
            <w:vAlign w:val="center"/>
          </w:tcPr>
          <w:p>
            <w:pPr>
              <w:pStyle w:val="63"/>
              <w:ind w:firstLine="0" w:firstLineChars="0"/>
            </w:pPr>
            <w:r>
              <w:rPr>
                <w:rFonts w:hint="eastAsia"/>
              </w:rPr>
              <w:t>符合一致性规则的数据量/监测数据集的全部数据量</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387" w:type="pct"/>
            <w:vAlign w:val="center"/>
          </w:tcPr>
          <w:p>
            <w:pPr>
              <w:pStyle w:val="63"/>
              <w:ind w:firstLine="0" w:firstLineChars="0"/>
              <w:jc w:val="center"/>
            </w:pPr>
            <w:r>
              <w:rPr>
                <w:rFonts w:hint="eastAsia"/>
              </w:rPr>
              <w:t>5</w:t>
            </w:r>
          </w:p>
        </w:tc>
        <w:tc>
          <w:tcPr>
            <w:tcW w:w="626" w:type="pct"/>
            <w:vMerge w:val="continue"/>
            <w:vAlign w:val="center"/>
          </w:tcPr>
          <w:p>
            <w:pPr>
              <w:pStyle w:val="63"/>
              <w:ind w:firstLine="0" w:firstLineChars="0"/>
            </w:pPr>
          </w:p>
        </w:tc>
        <w:tc>
          <w:tcPr>
            <w:tcW w:w="573" w:type="pct"/>
            <w:vMerge w:val="continue"/>
            <w:vAlign w:val="center"/>
          </w:tcPr>
          <w:p>
            <w:pPr>
              <w:pStyle w:val="63"/>
              <w:ind w:firstLine="0" w:firstLineChars="0"/>
            </w:pPr>
          </w:p>
        </w:tc>
        <w:tc>
          <w:tcPr>
            <w:tcW w:w="943" w:type="pct"/>
            <w:vAlign w:val="center"/>
          </w:tcPr>
          <w:p>
            <w:pPr>
              <w:pStyle w:val="63"/>
              <w:ind w:firstLine="0" w:firstLineChars="0"/>
            </w:pPr>
            <w:r>
              <w:rPr>
                <w:rFonts w:hint="eastAsia"/>
              </w:rPr>
              <w:t>时效性</w:t>
            </w:r>
          </w:p>
        </w:tc>
        <w:tc>
          <w:tcPr>
            <w:tcW w:w="587" w:type="pct"/>
            <w:vAlign w:val="center"/>
          </w:tcPr>
          <w:p>
            <w:pPr>
              <w:pStyle w:val="63"/>
              <w:ind w:firstLine="0" w:firstLineChars="0"/>
            </w:pPr>
            <w:r>
              <w:rPr>
                <w:rFonts w:hint="eastAsia"/>
              </w:rPr>
              <w:t>1</w:t>
            </w:r>
            <w:r>
              <w:t>0</w:t>
            </w:r>
          </w:p>
        </w:tc>
        <w:tc>
          <w:tcPr>
            <w:tcW w:w="1881" w:type="pct"/>
            <w:vAlign w:val="center"/>
          </w:tcPr>
          <w:p>
            <w:pPr>
              <w:pStyle w:val="63"/>
              <w:ind w:firstLine="0" w:firstLineChars="0"/>
            </w:pPr>
            <w:r>
              <w:rPr>
                <w:rFonts w:hint="eastAsia"/>
              </w:rPr>
              <w:t>符合时效性规则的数据量/监测数据集的全部数据量</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387" w:type="pct"/>
            <w:vAlign w:val="center"/>
          </w:tcPr>
          <w:p>
            <w:pPr>
              <w:pStyle w:val="63"/>
              <w:ind w:firstLine="0" w:firstLineChars="0"/>
              <w:jc w:val="center"/>
            </w:pPr>
            <w:r>
              <w:rPr>
                <w:rFonts w:hint="eastAsia"/>
              </w:rPr>
              <w:t>6</w:t>
            </w:r>
          </w:p>
        </w:tc>
        <w:tc>
          <w:tcPr>
            <w:tcW w:w="626" w:type="pct"/>
            <w:vMerge w:val="continue"/>
            <w:vAlign w:val="center"/>
          </w:tcPr>
          <w:p>
            <w:pPr>
              <w:pStyle w:val="63"/>
              <w:ind w:firstLine="0" w:firstLineChars="0"/>
            </w:pPr>
          </w:p>
        </w:tc>
        <w:tc>
          <w:tcPr>
            <w:tcW w:w="573" w:type="pct"/>
            <w:vMerge w:val="continue"/>
            <w:vAlign w:val="center"/>
          </w:tcPr>
          <w:p>
            <w:pPr>
              <w:pStyle w:val="63"/>
              <w:ind w:firstLine="0" w:firstLineChars="0"/>
            </w:pPr>
          </w:p>
        </w:tc>
        <w:tc>
          <w:tcPr>
            <w:tcW w:w="943" w:type="pct"/>
            <w:vAlign w:val="center"/>
          </w:tcPr>
          <w:p>
            <w:pPr>
              <w:pStyle w:val="63"/>
              <w:ind w:firstLine="0" w:firstLineChars="0"/>
            </w:pPr>
            <w:r>
              <w:rPr>
                <w:rFonts w:hint="eastAsia"/>
              </w:rPr>
              <w:t>可访问性</w:t>
            </w:r>
          </w:p>
        </w:tc>
        <w:tc>
          <w:tcPr>
            <w:tcW w:w="587" w:type="pct"/>
            <w:vAlign w:val="center"/>
          </w:tcPr>
          <w:p>
            <w:pPr>
              <w:pStyle w:val="63"/>
              <w:ind w:firstLine="0" w:firstLineChars="0"/>
            </w:pPr>
            <w:r>
              <w:rPr>
                <w:rFonts w:hint="eastAsia"/>
              </w:rPr>
              <w:t>5</w:t>
            </w:r>
          </w:p>
        </w:tc>
        <w:tc>
          <w:tcPr>
            <w:tcW w:w="1881" w:type="pct"/>
            <w:vAlign w:val="center"/>
          </w:tcPr>
          <w:p>
            <w:pPr>
              <w:pStyle w:val="63"/>
              <w:ind w:firstLine="0" w:firstLineChars="0"/>
            </w:pPr>
            <w:r>
              <w:rPr>
                <w:rFonts w:hint="eastAsia"/>
              </w:rPr>
              <w:t>符合可访问规则的数据量/监测数据集的全部数据量</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387" w:type="pct"/>
            <w:vAlign w:val="center"/>
          </w:tcPr>
          <w:p>
            <w:pPr>
              <w:pStyle w:val="63"/>
              <w:ind w:firstLine="0" w:firstLineChars="0"/>
              <w:jc w:val="center"/>
            </w:pPr>
            <w:r>
              <w:rPr>
                <w:rFonts w:hint="eastAsia"/>
              </w:rPr>
              <w:t>7</w:t>
            </w:r>
          </w:p>
        </w:tc>
        <w:tc>
          <w:tcPr>
            <w:tcW w:w="626" w:type="pct"/>
            <w:vMerge w:val="restart"/>
            <w:vAlign w:val="center"/>
          </w:tcPr>
          <w:p>
            <w:pPr>
              <w:pStyle w:val="63"/>
              <w:ind w:firstLine="0" w:firstLineChars="0"/>
            </w:pPr>
            <w:r>
              <w:rPr>
                <w:rFonts w:hint="eastAsia"/>
              </w:rPr>
              <w:t>工作质量指标</w:t>
            </w:r>
          </w:p>
        </w:tc>
        <w:tc>
          <w:tcPr>
            <w:tcW w:w="573" w:type="pct"/>
            <w:vMerge w:val="restart"/>
            <w:vAlign w:val="center"/>
          </w:tcPr>
          <w:p>
            <w:pPr>
              <w:pStyle w:val="63"/>
              <w:ind w:firstLine="0" w:firstLineChars="0"/>
            </w:pPr>
            <w:r>
              <w:t>30</w:t>
            </w:r>
          </w:p>
        </w:tc>
        <w:tc>
          <w:tcPr>
            <w:tcW w:w="943" w:type="pct"/>
            <w:vAlign w:val="center"/>
          </w:tcPr>
          <w:p>
            <w:pPr>
              <w:pStyle w:val="63"/>
              <w:ind w:firstLine="0" w:firstLineChars="0"/>
            </w:pPr>
            <w:r>
              <w:rPr>
                <w:rFonts w:hint="eastAsia"/>
              </w:rPr>
              <w:t>工单受理及时性</w:t>
            </w:r>
          </w:p>
        </w:tc>
        <w:tc>
          <w:tcPr>
            <w:tcW w:w="587" w:type="pct"/>
            <w:vAlign w:val="center"/>
          </w:tcPr>
          <w:p>
            <w:pPr>
              <w:pStyle w:val="63"/>
              <w:ind w:firstLine="0" w:firstLineChars="0"/>
            </w:pPr>
            <w:r>
              <w:rPr>
                <w:rFonts w:hint="eastAsia"/>
              </w:rPr>
              <w:t>1</w:t>
            </w:r>
            <w:r>
              <w:t>0</w:t>
            </w:r>
          </w:p>
        </w:tc>
        <w:tc>
          <w:tcPr>
            <w:tcW w:w="1881" w:type="pct"/>
            <w:vAlign w:val="center"/>
          </w:tcPr>
          <w:p>
            <w:pPr>
              <w:pStyle w:val="63"/>
              <w:ind w:firstLine="0" w:firstLineChars="0"/>
            </w:pPr>
            <w:r>
              <w:rPr>
                <w:rFonts w:hint="eastAsia"/>
              </w:rPr>
              <w:t>在规定时间内完成受理的工单数量/工单总量</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387" w:type="pct"/>
            <w:vAlign w:val="center"/>
          </w:tcPr>
          <w:p>
            <w:pPr>
              <w:pStyle w:val="63"/>
              <w:ind w:firstLine="0" w:firstLineChars="0"/>
              <w:jc w:val="center"/>
            </w:pPr>
            <w:r>
              <w:rPr>
                <w:rFonts w:hint="eastAsia"/>
              </w:rPr>
              <w:t>8</w:t>
            </w:r>
          </w:p>
        </w:tc>
        <w:tc>
          <w:tcPr>
            <w:tcW w:w="626" w:type="pct"/>
            <w:vMerge w:val="continue"/>
            <w:vAlign w:val="center"/>
          </w:tcPr>
          <w:p>
            <w:pPr>
              <w:pStyle w:val="63"/>
              <w:ind w:firstLine="0" w:firstLineChars="0"/>
            </w:pPr>
          </w:p>
        </w:tc>
        <w:tc>
          <w:tcPr>
            <w:tcW w:w="573" w:type="pct"/>
            <w:vMerge w:val="continue"/>
            <w:vAlign w:val="center"/>
          </w:tcPr>
          <w:p>
            <w:pPr>
              <w:pStyle w:val="63"/>
              <w:ind w:firstLine="0" w:firstLineChars="0"/>
            </w:pPr>
          </w:p>
        </w:tc>
        <w:tc>
          <w:tcPr>
            <w:tcW w:w="943" w:type="pct"/>
            <w:vAlign w:val="center"/>
          </w:tcPr>
          <w:p>
            <w:pPr>
              <w:pStyle w:val="63"/>
              <w:ind w:firstLine="0" w:firstLineChars="0"/>
            </w:pPr>
            <w:r>
              <w:rPr>
                <w:rFonts w:hint="eastAsia"/>
              </w:rPr>
              <w:t>工单处理及时性</w:t>
            </w:r>
          </w:p>
        </w:tc>
        <w:tc>
          <w:tcPr>
            <w:tcW w:w="587" w:type="pct"/>
            <w:vAlign w:val="center"/>
          </w:tcPr>
          <w:p>
            <w:pPr>
              <w:pStyle w:val="63"/>
              <w:ind w:firstLine="0" w:firstLineChars="0"/>
            </w:pPr>
            <w:r>
              <w:t>20</w:t>
            </w:r>
          </w:p>
        </w:tc>
        <w:tc>
          <w:tcPr>
            <w:tcW w:w="1881" w:type="pct"/>
            <w:vAlign w:val="center"/>
          </w:tcPr>
          <w:p>
            <w:pPr>
              <w:pStyle w:val="63"/>
              <w:ind w:firstLine="0" w:firstLineChars="0"/>
            </w:pPr>
            <w:r>
              <w:rPr>
                <w:rFonts w:hint="eastAsia"/>
              </w:rPr>
              <w:t>在规定时间内完成处理的工单数据量/工单总量</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387" w:type="pct"/>
            <w:vAlign w:val="center"/>
          </w:tcPr>
          <w:p>
            <w:pPr>
              <w:pStyle w:val="63"/>
              <w:ind w:firstLine="0" w:firstLineChars="0"/>
              <w:jc w:val="center"/>
            </w:pPr>
            <w:r>
              <w:rPr>
                <w:rFonts w:hint="eastAsia"/>
              </w:rPr>
              <w:t>9</w:t>
            </w:r>
          </w:p>
        </w:tc>
        <w:tc>
          <w:tcPr>
            <w:tcW w:w="626" w:type="pct"/>
            <w:vMerge w:val="continue"/>
            <w:vAlign w:val="center"/>
          </w:tcPr>
          <w:p>
            <w:pPr>
              <w:pStyle w:val="63"/>
              <w:ind w:firstLine="0" w:firstLineChars="0"/>
            </w:pPr>
          </w:p>
        </w:tc>
        <w:tc>
          <w:tcPr>
            <w:tcW w:w="573" w:type="pct"/>
            <w:vMerge w:val="continue"/>
            <w:vAlign w:val="center"/>
          </w:tcPr>
          <w:p>
            <w:pPr>
              <w:pStyle w:val="63"/>
              <w:ind w:firstLine="0" w:firstLineChars="0"/>
            </w:pPr>
          </w:p>
        </w:tc>
        <w:tc>
          <w:tcPr>
            <w:tcW w:w="943" w:type="pct"/>
            <w:vAlign w:val="center"/>
          </w:tcPr>
          <w:p>
            <w:pPr>
              <w:pStyle w:val="63"/>
              <w:ind w:firstLine="0" w:firstLineChars="0"/>
            </w:pPr>
            <w:r>
              <w:rPr>
                <w:rFonts w:hint="eastAsia"/>
              </w:rPr>
              <w:t>工单处理有效性</w:t>
            </w:r>
          </w:p>
        </w:tc>
        <w:tc>
          <w:tcPr>
            <w:tcW w:w="587" w:type="pct"/>
            <w:vAlign w:val="center"/>
          </w:tcPr>
          <w:p>
            <w:pPr>
              <w:pStyle w:val="63"/>
              <w:ind w:firstLine="0" w:firstLineChars="0"/>
            </w:pPr>
            <w:r>
              <w:t>40</w:t>
            </w:r>
          </w:p>
        </w:tc>
        <w:tc>
          <w:tcPr>
            <w:tcW w:w="1881" w:type="pct"/>
            <w:vAlign w:val="center"/>
          </w:tcPr>
          <w:p>
            <w:pPr>
              <w:pStyle w:val="63"/>
              <w:ind w:firstLine="0" w:firstLineChars="0"/>
            </w:pPr>
            <w:r>
              <w:rPr>
                <w:rFonts w:hint="eastAsia"/>
              </w:rPr>
              <w:t>在规定时间内完成处理的且复测核验通过的工单数量/在规定时间内完成处理的工单总量</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387" w:type="pct"/>
            <w:vAlign w:val="center"/>
          </w:tcPr>
          <w:p>
            <w:pPr>
              <w:pStyle w:val="63"/>
              <w:ind w:firstLine="0" w:firstLineChars="0"/>
              <w:jc w:val="center"/>
            </w:pPr>
            <w:r>
              <w:rPr>
                <w:rFonts w:hint="eastAsia"/>
              </w:rPr>
              <w:t>1</w:t>
            </w:r>
            <w:r>
              <w:t>0</w:t>
            </w:r>
          </w:p>
        </w:tc>
        <w:tc>
          <w:tcPr>
            <w:tcW w:w="626" w:type="pct"/>
            <w:vMerge w:val="continue"/>
            <w:vAlign w:val="center"/>
          </w:tcPr>
          <w:p>
            <w:pPr>
              <w:pStyle w:val="63"/>
              <w:ind w:firstLine="0" w:firstLineChars="0"/>
            </w:pPr>
          </w:p>
        </w:tc>
        <w:tc>
          <w:tcPr>
            <w:tcW w:w="573" w:type="pct"/>
            <w:vMerge w:val="continue"/>
            <w:vAlign w:val="center"/>
          </w:tcPr>
          <w:p>
            <w:pPr>
              <w:pStyle w:val="63"/>
              <w:ind w:firstLine="0" w:firstLineChars="0"/>
            </w:pPr>
          </w:p>
        </w:tc>
        <w:tc>
          <w:tcPr>
            <w:tcW w:w="943" w:type="pct"/>
            <w:vAlign w:val="center"/>
          </w:tcPr>
          <w:p>
            <w:pPr>
              <w:pStyle w:val="63"/>
              <w:ind w:firstLine="0" w:firstLineChars="0"/>
            </w:pPr>
            <w:r>
              <w:rPr>
                <w:rFonts w:hint="eastAsia"/>
              </w:rPr>
              <w:t>问题整改完整性</w:t>
            </w:r>
          </w:p>
        </w:tc>
        <w:tc>
          <w:tcPr>
            <w:tcW w:w="587" w:type="pct"/>
            <w:vAlign w:val="center"/>
          </w:tcPr>
          <w:p>
            <w:pPr>
              <w:pStyle w:val="63"/>
              <w:ind w:firstLine="0" w:firstLineChars="0"/>
            </w:pPr>
            <w:r>
              <w:t>30</w:t>
            </w:r>
          </w:p>
        </w:tc>
        <w:tc>
          <w:tcPr>
            <w:tcW w:w="1881" w:type="pct"/>
            <w:vAlign w:val="center"/>
          </w:tcPr>
          <w:p>
            <w:pPr>
              <w:pStyle w:val="63"/>
              <w:ind w:firstLine="0" w:firstLineChars="0"/>
              <w:rPr>
                <w:highlight w:val="yellow"/>
              </w:rPr>
            </w:pPr>
            <w:r>
              <w:rPr>
                <w:rFonts w:hint="eastAsia"/>
              </w:rPr>
              <w:t>在指定时间区间内，完成更正的问题数量/问题总量</w:t>
            </w:r>
          </w:p>
        </w:tc>
      </w:tr>
      <w:bookmarkEnd w:id="101"/>
      <w:bookmarkEnd w:id="102"/>
    </w:tbl>
    <w:p>
      <w:pPr>
        <w:pStyle w:val="63"/>
        <w:ind w:firstLine="0" w:firstLineChars="0"/>
        <w:sectPr>
          <w:pgSz w:w="11906" w:h="16838"/>
          <w:pgMar w:top="1417" w:right="1134" w:bottom="1134" w:left="1417" w:header="1417" w:footer="1134" w:gutter="283"/>
          <w:cols w:space="0" w:num="1"/>
          <w:formProt w:val="0"/>
          <w:docGrid w:type="lines" w:linePitch="317" w:charSpace="0"/>
        </w:sectPr>
      </w:pPr>
    </w:p>
    <w:p>
      <w:pPr>
        <w:pStyle w:val="205"/>
      </w:pPr>
    </w:p>
    <w:p>
      <w:pPr>
        <w:pStyle w:val="206"/>
      </w:pPr>
    </w:p>
    <w:p>
      <w:pPr>
        <w:pStyle w:val="13"/>
        <w:keepNext w:val="0"/>
        <w:keepLines w:val="0"/>
        <w:pageBreakBefore w:val="0"/>
        <w:widowControl w:val="0"/>
        <w:kinsoku/>
        <w:wordWrap/>
        <w:overflowPunct/>
        <w:topLinePunct w:val="0"/>
        <w:autoSpaceDE/>
        <w:autoSpaceDN/>
        <w:bidi w:val="0"/>
        <w:adjustRightInd w:val="0"/>
        <w:snapToGrid w:val="0"/>
        <w:spacing w:before="567" w:line="240" w:lineRule="auto"/>
        <w:ind w:left="0" w:leftChars="0" w:firstLine="0" w:firstLineChars="0"/>
        <w:jc w:val="center"/>
        <w:textAlignment w:val="auto"/>
        <w:outlineLvl w:val="0"/>
        <w:rPr>
          <w:rFonts w:hint="eastAsia" w:ascii="黑体" w:hAnsi="黑体" w:eastAsia="黑体" w:cs="黑体"/>
          <w:sz w:val="21"/>
          <w:szCs w:val="21"/>
          <w:lang w:val="en-US" w:eastAsia="zh-CN"/>
        </w:rPr>
      </w:pPr>
      <w:bookmarkStart w:id="104" w:name="_Toc18058"/>
      <w:bookmarkStart w:id="105" w:name="_Toc181957972"/>
      <w:bookmarkStart w:id="106" w:name="_Toc19444"/>
      <w:bookmarkStart w:id="107" w:name="_Toc138255972"/>
      <w:r>
        <w:rPr>
          <w:rFonts w:hint="eastAsia" w:ascii="黑体" w:hAnsi="黑体" w:eastAsia="黑体" w:cs="黑体"/>
          <w:sz w:val="21"/>
          <w:szCs w:val="21"/>
          <w:lang w:val="en-US" w:eastAsia="zh-CN"/>
        </w:rPr>
        <w:t>附  录  B</w:t>
      </w:r>
    </w:p>
    <w:p>
      <w:pPr>
        <w:pStyle w:val="83"/>
        <w:keepNext w:val="0"/>
        <w:keepLines w:val="0"/>
        <w:pageBreakBefore w:val="0"/>
        <w:widowControl/>
        <w:numPr>
          <w:ilvl w:val="0"/>
          <w:numId w:val="0"/>
        </w:numPr>
        <w:kinsoku/>
        <w:wordWrap/>
        <w:overflowPunct/>
        <w:topLinePunct w:val="0"/>
        <w:autoSpaceDE/>
        <w:autoSpaceDN/>
        <w:bidi w:val="0"/>
        <w:adjustRightInd/>
        <w:snapToGrid/>
        <w:spacing w:before="0" w:afterLines="0"/>
        <w:ind w:leftChars="0"/>
        <w:jc w:val="center"/>
        <w:textAlignment w:val="auto"/>
        <w:rPr>
          <w:rFonts w:hint="eastAsia"/>
        </w:rPr>
      </w:pPr>
      <w:r>
        <w:rPr>
          <w:rFonts w:hint="eastAsia"/>
        </w:rPr>
        <w:t>（资料性）</w:t>
      </w:r>
    </w:p>
    <w:p>
      <w:pPr>
        <w:pStyle w:val="83"/>
        <w:keepNext w:val="0"/>
        <w:keepLines w:val="0"/>
        <w:pageBreakBefore w:val="0"/>
        <w:widowControl/>
        <w:numPr>
          <w:ilvl w:val="0"/>
          <w:numId w:val="0"/>
        </w:numPr>
        <w:kinsoku/>
        <w:wordWrap/>
        <w:overflowPunct/>
        <w:topLinePunct w:val="0"/>
        <w:autoSpaceDE/>
        <w:autoSpaceDN/>
        <w:bidi w:val="0"/>
        <w:adjustRightInd/>
        <w:snapToGrid/>
        <w:spacing w:before="0" w:after="284" w:afterLines="0"/>
        <w:ind w:leftChars="0"/>
        <w:jc w:val="center"/>
        <w:textAlignment w:val="auto"/>
      </w:pPr>
      <w:r>
        <w:rPr>
          <w:rFonts w:hint="eastAsia"/>
        </w:rPr>
        <w:t>市场主体注册登记核心数据质量规则示例</w:t>
      </w:r>
      <w:bookmarkEnd w:id="104"/>
    </w:p>
    <w:p>
      <w:pPr>
        <w:pStyle w:val="63"/>
        <w:ind w:firstLine="420"/>
        <w:rPr>
          <w:rFonts w:hint="eastAsia"/>
        </w:rPr>
      </w:pPr>
      <w:r>
        <w:rPr>
          <w:rFonts w:hint="eastAsia"/>
        </w:rPr>
        <w:t>表</w:t>
      </w:r>
      <w:r>
        <w:rPr>
          <w:rFonts w:hint="eastAsia"/>
          <w:lang w:val="en-US" w:eastAsia="zh-CN"/>
        </w:rPr>
        <w:t>B</w:t>
      </w:r>
      <w:r>
        <w:rPr>
          <w:rFonts w:hint="eastAsia"/>
        </w:rPr>
        <w:t>.1给出了针对市场监管系统市场主体注册登记核心数据质量规则示例。</w:t>
      </w:r>
    </w:p>
    <w:p>
      <w:pPr>
        <w:pStyle w:val="84"/>
        <w:spacing w:before="158" w:after="158"/>
        <w:rPr>
          <w:rFonts w:hint="eastAsia" w:hAnsi="Times New Roman" w:cs="Times New Roman"/>
        </w:rPr>
      </w:pPr>
      <w:r>
        <w:rPr>
          <w:rFonts w:hint="eastAsia" w:cs="Times New Roman"/>
          <w:lang w:val="en-US" w:eastAsia="zh-CN"/>
        </w:rPr>
        <w:t xml:space="preserve"> </w:t>
      </w:r>
      <w:r>
        <w:rPr>
          <w:rFonts w:hint="eastAsia" w:hAnsi="Times New Roman" w:cs="Times New Roman"/>
        </w:rPr>
        <w:t>市场主体注册登记核心数据质量规则示例</w:t>
      </w:r>
    </w:p>
    <w:tbl>
      <w:tblPr>
        <w:tblStyle w:val="31"/>
        <w:tblW w:w="5000" w:type="pct"/>
        <w:tblInd w:w="0" w:type="dxa"/>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
      <w:tblGrid>
        <w:gridCol w:w="463"/>
        <w:gridCol w:w="636"/>
        <w:gridCol w:w="636"/>
        <w:gridCol w:w="1524"/>
        <w:gridCol w:w="2436"/>
        <w:gridCol w:w="3593"/>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9" w:type="pct"/>
            <w:tcBorders>
              <w:bottom w:val="single" w:color="auto" w:sz="4" w:space="0"/>
              <w:right w:val="single" w:color="auto" w:sz="4" w:space="0"/>
            </w:tcBorders>
            <w:shd w:val="clear" w:color="auto" w:fill="auto"/>
            <w:noWrap/>
            <w:vAlign w:val="center"/>
          </w:tcPr>
          <w:p>
            <w:pPr>
              <w:jc w:val="left"/>
              <w:rPr>
                <w:rFonts w:ascii="宋体" w:hAnsi="宋体" w:eastAsia="宋体"/>
                <w:b/>
                <w:bCs/>
                <w:color w:val="000000"/>
                <w:sz w:val="20"/>
                <w:szCs w:val="20"/>
              </w:rPr>
            </w:pPr>
            <w:r>
              <w:rPr>
                <w:rFonts w:hint="eastAsia" w:ascii="宋体" w:hAnsi="宋体" w:eastAsia="宋体"/>
                <w:b/>
                <w:bCs/>
                <w:color w:val="000000"/>
                <w:sz w:val="20"/>
                <w:szCs w:val="20"/>
              </w:rPr>
              <w:t>序号</w:t>
            </w:r>
          </w:p>
        </w:tc>
        <w:tc>
          <w:tcPr>
            <w:tcW w:w="342" w:type="pct"/>
            <w:tcBorders>
              <w:left w:val="nil"/>
              <w:bottom w:val="single" w:color="auto" w:sz="4" w:space="0"/>
              <w:right w:val="single" w:color="auto" w:sz="4" w:space="0"/>
            </w:tcBorders>
            <w:shd w:val="clear" w:color="auto" w:fill="auto"/>
            <w:noWrap/>
            <w:vAlign w:val="center"/>
          </w:tcPr>
          <w:p>
            <w:pPr>
              <w:rPr>
                <w:rFonts w:hint="eastAsia" w:ascii="宋体" w:hAnsi="宋体" w:eastAsia="宋体"/>
                <w:b/>
                <w:bCs/>
                <w:color w:val="000000"/>
                <w:sz w:val="20"/>
                <w:szCs w:val="20"/>
              </w:rPr>
            </w:pPr>
            <w:r>
              <w:rPr>
                <w:rFonts w:hint="eastAsia" w:ascii="宋体" w:hAnsi="宋体" w:eastAsia="宋体"/>
                <w:b/>
                <w:bCs/>
                <w:color w:val="000000"/>
                <w:sz w:val="20"/>
                <w:szCs w:val="20"/>
              </w:rPr>
              <w:t>一级指标</w:t>
            </w:r>
          </w:p>
        </w:tc>
        <w:tc>
          <w:tcPr>
            <w:tcW w:w="342" w:type="pct"/>
            <w:tcBorders>
              <w:left w:val="nil"/>
              <w:bottom w:val="single" w:color="auto" w:sz="4" w:space="0"/>
              <w:right w:val="single" w:color="auto" w:sz="4" w:space="0"/>
            </w:tcBorders>
            <w:shd w:val="clear" w:color="auto" w:fill="auto"/>
            <w:noWrap/>
            <w:vAlign w:val="center"/>
          </w:tcPr>
          <w:p>
            <w:pPr>
              <w:rPr>
                <w:rFonts w:hint="eastAsia" w:ascii="宋体" w:hAnsi="宋体" w:eastAsia="宋体"/>
                <w:b/>
                <w:bCs/>
                <w:color w:val="000000"/>
                <w:sz w:val="20"/>
                <w:szCs w:val="20"/>
              </w:rPr>
            </w:pPr>
            <w:r>
              <w:rPr>
                <w:rFonts w:hint="eastAsia" w:ascii="宋体" w:hAnsi="宋体" w:eastAsia="宋体"/>
                <w:b/>
                <w:bCs/>
                <w:color w:val="000000"/>
                <w:sz w:val="20"/>
                <w:szCs w:val="20"/>
              </w:rPr>
              <w:t>二级指标</w:t>
            </w:r>
          </w:p>
        </w:tc>
        <w:tc>
          <w:tcPr>
            <w:tcW w:w="820" w:type="pct"/>
            <w:tcBorders>
              <w:left w:val="nil"/>
              <w:bottom w:val="single" w:color="auto" w:sz="4" w:space="0"/>
              <w:right w:val="single" w:color="auto" w:sz="4" w:space="0"/>
            </w:tcBorders>
            <w:shd w:val="clear" w:color="auto" w:fill="auto"/>
            <w:noWrap/>
            <w:vAlign w:val="center"/>
          </w:tcPr>
          <w:p>
            <w:pPr>
              <w:rPr>
                <w:rFonts w:hint="eastAsia" w:ascii="宋体" w:hAnsi="宋体" w:eastAsia="宋体"/>
                <w:b/>
                <w:bCs/>
                <w:color w:val="000000"/>
                <w:sz w:val="20"/>
                <w:szCs w:val="20"/>
              </w:rPr>
            </w:pPr>
            <w:r>
              <w:rPr>
                <w:rFonts w:hint="eastAsia" w:ascii="宋体" w:hAnsi="宋体" w:eastAsia="宋体"/>
                <w:b/>
                <w:bCs/>
                <w:color w:val="000000"/>
                <w:sz w:val="20"/>
                <w:szCs w:val="20"/>
              </w:rPr>
              <w:t>数据质量规则</w:t>
            </w:r>
          </w:p>
        </w:tc>
        <w:tc>
          <w:tcPr>
            <w:tcW w:w="1311" w:type="pct"/>
            <w:tcBorders>
              <w:left w:val="nil"/>
              <w:bottom w:val="single" w:color="auto" w:sz="4" w:space="0"/>
              <w:right w:val="single" w:color="auto" w:sz="4" w:space="0"/>
            </w:tcBorders>
            <w:shd w:val="clear" w:color="auto" w:fill="auto"/>
            <w:noWrap/>
            <w:vAlign w:val="center"/>
          </w:tcPr>
          <w:p>
            <w:pPr>
              <w:rPr>
                <w:rFonts w:hint="eastAsia" w:ascii="宋体" w:hAnsi="宋体" w:eastAsia="宋体"/>
                <w:b/>
                <w:bCs/>
                <w:color w:val="000000"/>
                <w:sz w:val="20"/>
                <w:szCs w:val="20"/>
              </w:rPr>
            </w:pPr>
            <w:r>
              <w:rPr>
                <w:rFonts w:hint="eastAsia" w:ascii="宋体" w:hAnsi="宋体" w:eastAsia="宋体"/>
                <w:b/>
                <w:bCs/>
                <w:color w:val="000000"/>
                <w:sz w:val="20"/>
                <w:szCs w:val="20"/>
              </w:rPr>
              <w:t>评测字段</w:t>
            </w:r>
          </w:p>
        </w:tc>
        <w:tc>
          <w:tcPr>
            <w:tcW w:w="1934" w:type="pct"/>
            <w:tcBorders>
              <w:left w:val="nil"/>
              <w:bottom w:val="single" w:color="auto" w:sz="4" w:space="0"/>
            </w:tcBorders>
            <w:shd w:val="clear" w:color="auto" w:fill="auto"/>
            <w:noWrap/>
            <w:vAlign w:val="center"/>
          </w:tcPr>
          <w:p>
            <w:pPr>
              <w:rPr>
                <w:rFonts w:hint="eastAsia" w:ascii="宋体" w:hAnsi="宋体" w:eastAsia="宋体"/>
                <w:b/>
                <w:bCs/>
                <w:color w:val="000000"/>
                <w:sz w:val="20"/>
                <w:szCs w:val="20"/>
              </w:rPr>
            </w:pPr>
            <w:r>
              <w:rPr>
                <w:rFonts w:hint="eastAsia" w:ascii="宋体" w:hAnsi="宋体" w:eastAsia="宋体"/>
                <w:b/>
                <w:bCs/>
                <w:color w:val="000000"/>
                <w:sz w:val="20"/>
                <w:szCs w:val="20"/>
              </w:rPr>
              <w:t>数据质量规则描述</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1</w:t>
            </w:r>
          </w:p>
        </w:tc>
        <w:tc>
          <w:tcPr>
            <w:tcW w:w="342" w:type="pct"/>
            <w:vMerge w:val="restart"/>
            <w:tcBorders>
              <w:top w:val="nil"/>
              <w:left w:val="single" w:color="auto" w:sz="4" w:space="0"/>
              <w:bottom w:val="single" w:color="auto" w:sz="4" w:space="0"/>
              <w:right w:val="single" w:color="auto" w:sz="4" w:space="0"/>
            </w:tcBorders>
            <w:shd w:val="clear" w:color="auto" w:fill="auto"/>
            <w:noWrap/>
            <w:vAlign w:val="center"/>
          </w:tcPr>
          <w:p>
            <w:pP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数据质量指标</w:t>
            </w:r>
          </w:p>
        </w:tc>
        <w:tc>
          <w:tcPr>
            <w:tcW w:w="342" w:type="pct"/>
            <w:vMerge w:val="restart"/>
            <w:tcBorders>
              <w:top w:val="nil"/>
              <w:left w:val="single" w:color="auto" w:sz="4" w:space="0"/>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规范性</w:t>
            </w: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统一社会信用代码规范性检查</w:t>
            </w:r>
          </w:p>
        </w:tc>
        <w:tc>
          <w:tcPr>
            <w:tcW w:w="1311" w:type="pct"/>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统一社会信用代码</w:t>
            </w:r>
          </w:p>
        </w:tc>
        <w:tc>
          <w:tcPr>
            <w:tcW w:w="1934" w:type="pct"/>
            <w:tcBorders>
              <w:top w:val="nil"/>
              <w:left w:val="nil"/>
              <w:bottom w:val="single" w:color="auto" w:sz="4" w:space="0"/>
            </w:tcBorders>
            <w:shd w:val="clear" w:color="auto" w:fill="auto"/>
            <w:vAlign w:val="center"/>
          </w:tcPr>
          <w:p>
            <w:pPr>
              <w:rPr>
                <w:rFonts w:hint="eastAsia" w:ascii="Calibri" w:hAnsi="Calibri" w:eastAsia="宋体"/>
                <w:kern w:val="2"/>
                <w:sz w:val="21"/>
                <w:szCs w:val="21"/>
                <w:lang w:val="en-US" w:eastAsia="zh-CN"/>
              </w:rPr>
            </w:pPr>
            <w:r>
              <w:rPr>
                <w:rFonts w:hint="eastAsia" w:ascii="宋体" w:hAnsi="宋体" w:eastAsia="宋体" w:cs="宋体"/>
                <w:kern w:val="2"/>
                <w:sz w:val="21"/>
                <w:szCs w:val="21"/>
                <w:lang w:val="en-US"/>
              </w:rPr>
              <w:t>统一社会信用代码编码规范应该符合行业标准《GB 32100-2015 法人和其他组织统一社会信用代码编码规则》及《GB 32100-2015XG1-2016法人和其他组织统一社会信用代码编码规则国家标准第1号修改单</w:t>
            </w:r>
            <w:r>
              <w:rPr>
                <w:rFonts w:hint="eastAsia" w:ascii="Calibri" w:hAnsi="Calibri" w:eastAsia="宋体"/>
                <w:kern w:val="2"/>
                <w:sz w:val="21"/>
                <w:szCs w:val="21"/>
                <w:lang w:val="en-US"/>
              </w:rPr>
              <w:t>》</w:t>
            </w:r>
            <w:r>
              <w:rPr>
                <w:rFonts w:hint="eastAsia" w:ascii="Calibri" w:hAnsi="Calibri" w:eastAsia="宋体"/>
                <w:kern w:val="2"/>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2</w:t>
            </w:r>
          </w:p>
        </w:tc>
        <w:tc>
          <w:tcPr>
            <w:tcW w:w="342" w:type="pct"/>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vMerge w:val="continue"/>
            <w:tcBorders>
              <w:top w:val="nil"/>
              <w:left w:val="single" w:color="auto" w:sz="4" w:space="0"/>
              <w:bottom w:val="single" w:color="auto" w:sz="4" w:space="0"/>
              <w:right w:val="single" w:color="auto" w:sz="4" w:space="0"/>
            </w:tcBorders>
            <w:vAlign w:val="center"/>
          </w:tcPr>
          <w:p>
            <w:pPr>
              <w:jc w:val="both"/>
              <w:rPr>
                <w:rFonts w:hint="eastAsia" w:ascii="宋体" w:hAnsi="宋体" w:eastAsia="宋体" w:cs="宋体"/>
                <w:kern w:val="2"/>
                <w:sz w:val="21"/>
                <w:szCs w:val="21"/>
                <w:lang w:val="en-US"/>
              </w:rPr>
            </w:pP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组织机构代码规范性检查</w:t>
            </w:r>
          </w:p>
        </w:tc>
        <w:tc>
          <w:tcPr>
            <w:tcW w:w="1311" w:type="pct"/>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组织机构代码</w:t>
            </w:r>
          </w:p>
        </w:tc>
        <w:tc>
          <w:tcPr>
            <w:tcW w:w="1934" w:type="pct"/>
            <w:tcBorders>
              <w:top w:val="nil"/>
              <w:left w:val="nil"/>
              <w:bottom w:val="single" w:color="auto" w:sz="4" w:space="0"/>
            </w:tcBorders>
            <w:shd w:val="clear" w:color="auto" w:fill="auto"/>
            <w:vAlign w:val="center"/>
          </w:tcPr>
          <w:p>
            <w:pP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组织机构代码编码规范应该符合行业标准《GB/T 11714-1997 全国组织机构代码编制规则》。</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3</w:t>
            </w:r>
          </w:p>
        </w:tc>
        <w:tc>
          <w:tcPr>
            <w:tcW w:w="342" w:type="pct"/>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vMerge w:val="continue"/>
            <w:tcBorders>
              <w:top w:val="nil"/>
              <w:left w:val="single" w:color="auto" w:sz="4" w:space="0"/>
              <w:bottom w:val="single" w:color="auto" w:sz="4" w:space="0"/>
              <w:right w:val="single" w:color="auto" w:sz="4" w:space="0"/>
            </w:tcBorders>
            <w:vAlign w:val="center"/>
          </w:tcPr>
          <w:p>
            <w:pPr>
              <w:jc w:val="both"/>
              <w:rPr>
                <w:rFonts w:hint="eastAsia" w:ascii="宋体" w:hAnsi="宋体" w:eastAsia="宋体" w:cs="宋体"/>
                <w:kern w:val="2"/>
                <w:sz w:val="21"/>
                <w:szCs w:val="21"/>
                <w:lang w:val="en-US"/>
              </w:rPr>
            </w:pP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行业分类规范性检查</w:t>
            </w:r>
          </w:p>
        </w:tc>
        <w:tc>
          <w:tcPr>
            <w:tcW w:w="1311" w:type="pct"/>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行业分类</w:t>
            </w:r>
          </w:p>
        </w:tc>
        <w:tc>
          <w:tcPr>
            <w:tcW w:w="1934" w:type="pct"/>
            <w:tcBorders>
              <w:top w:val="nil"/>
              <w:left w:val="nil"/>
              <w:bottom w:val="single" w:color="auto" w:sz="4" w:space="0"/>
            </w:tcBorders>
            <w:shd w:val="clear" w:color="auto" w:fill="auto"/>
            <w:vAlign w:val="center"/>
          </w:tcPr>
          <w:p>
            <w:pP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行业分类应符合国家标准《GB/T 4754-2017 国民经济行业分类》。</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4</w:t>
            </w:r>
          </w:p>
        </w:tc>
        <w:tc>
          <w:tcPr>
            <w:tcW w:w="342" w:type="pct"/>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vMerge w:val="continue"/>
            <w:tcBorders>
              <w:top w:val="nil"/>
              <w:left w:val="single" w:color="auto" w:sz="4" w:space="0"/>
              <w:bottom w:val="single" w:color="auto" w:sz="4" w:space="0"/>
              <w:right w:val="single" w:color="auto" w:sz="4" w:space="0"/>
            </w:tcBorders>
            <w:vAlign w:val="center"/>
          </w:tcPr>
          <w:p>
            <w:pPr>
              <w:jc w:val="both"/>
              <w:rPr>
                <w:rFonts w:hint="eastAsia" w:ascii="宋体" w:hAnsi="宋体" w:eastAsia="宋体" w:cs="宋体"/>
                <w:kern w:val="2"/>
                <w:sz w:val="21"/>
                <w:szCs w:val="21"/>
                <w:lang w:val="en-US"/>
              </w:rPr>
            </w:pP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法定代表人或负责人证件号码规范性检查</w:t>
            </w:r>
          </w:p>
        </w:tc>
        <w:tc>
          <w:tcPr>
            <w:tcW w:w="1311" w:type="pct"/>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法定代表人或负责人证件号码</w:t>
            </w:r>
          </w:p>
        </w:tc>
        <w:tc>
          <w:tcPr>
            <w:tcW w:w="1934" w:type="pct"/>
            <w:tcBorders>
              <w:top w:val="nil"/>
              <w:left w:val="nil"/>
              <w:bottom w:val="single" w:color="auto" w:sz="4" w:space="0"/>
            </w:tcBorders>
            <w:shd w:val="clear" w:color="auto" w:fill="auto"/>
            <w:vAlign w:val="center"/>
          </w:tcPr>
          <w:p>
            <w:pP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rPr>
              <w:t>根据证件类型，检测证件号码。如果证件类型为</w:t>
            </w:r>
            <w:r>
              <w:rPr>
                <w:rFonts w:hint="eastAsia" w:ascii="宋体" w:hAnsi="宋体" w:eastAsia="宋体" w:cs="宋体"/>
                <w:kern w:val="2"/>
                <w:sz w:val="21"/>
                <w:szCs w:val="21"/>
                <w:lang w:val="en-US" w:eastAsia="zh-CN"/>
              </w:rPr>
              <w:t>中华人民共和国居民</w:t>
            </w:r>
            <w:r>
              <w:rPr>
                <w:rFonts w:hint="eastAsia" w:ascii="宋体" w:hAnsi="宋体" w:eastAsia="宋体" w:cs="宋体"/>
                <w:kern w:val="2"/>
                <w:sz w:val="21"/>
                <w:szCs w:val="21"/>
                <w:lang w:val="en-US"/>
              </w:rPr>
              <w:t>身份证，则证件号码应符合《GB 11643-1999 公民身份号码》</w:t>
            </w:r>
            <w:r>
              <w:rPr>
                <w:rFonts w:hint="eastAsia" w:ascii="宋体" w:hAnsi="宋体" w:eastAsia="宋体" w:cs="宋体"/>
                <w:kern w:val="2"/>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5</w:t>
            </w:r>
          </w:p>
        </w:tc>
        <w:tc>
          <w:tcPr>
            <w:tcW w:w="342" w:type="pct"/>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vMerge w:val="continue"/>
            <w:tcBorders>
              <w:top w:val="nil"/>
              <w:left w:val="single" w:color="auto" w:sz="4" w:space="0"/>
              <w:bottom w:val="single" w:color="auto" w:sz="4" w:space="0"/>
              <w:right w:val="single" w:color="auto" w:sz="4" w:space="0"/>
            </w:tcBorders>
            <w:vAlign w:val="center"/>
          </w:tcPr>
          <w:p>
            <w:pPr>
              <w:jc w:val="both"/>
              <w:rPr>
                <w:rFonts w:hint="eastAsia" w:ascii="宋体" w:hAnsi="宋体" w:eastAsia="宋体" w:cs="宋体"/>
                <w:kern w:val="2"/>
                <w:sz w:val="21"/>
                <w:szCs w:val="21"/>
                <w:lang w:val="en-US"/>
              </w:rPr>
            </w:pP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企业状态是否符合既定规范</w:t>
            </w:r>
          </w:p>
        </w:tc>
        <w:tc>
          <w:tcPr>
            <w:tcW w:w="1311" w:type="pct"/>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企业状态</w:t>
            </w:r>
          </w:p>
        </w:tc>
        <w:tc>
          <w:tcPr>
            <w:tcW w:w="1934" w:type="pct"/>
            <w:tcBorders>
              <w:top w:val="nil"/>
              <w:left w:val="nil"/>
              <w:bottom w:val="single" w:color="auto" w:sz="4" w:space="0"/>
            </w:tcBorders>
            <w:shd w:val="clear" w:color="auto" w:fill="auto"/>
            <w:vAlign w:val="center"/>
          </w:tcPr>
          <w:p>
            <w:pP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rPr>
              <w:t>企业状态应符合行业标准《SG 3-2021 市场监管基础代码集》</w:t>
            </w:r>
            <w:r>
              <w:rPr>
                <w:rFonts w:hint="eastAsia" w:ascii="宋体" w:hAnsi="宋体" w:eastAsia="宋体" w:cs="宋体"/>
                <w:kern w:val="2"/>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6</w:t>
            </w:r>
          </w:p>
        </w:tc>
        <w:tc>
          <w:tcPr>
            <w:tcW w:w="342" w:type="pct"/>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vMerge w:val="continue"/>
            <w:tcBorders>
              <w:top w:val="nil"/>
              <w:left w:val="single" w:color="auto" w:sz="4" w:space="0"/>
              <w:bottom w:val="single" w:color="auto" w:sz="4" w:space="0"/>
              <w:right w:val="single" w:color="auto" w:sz="4" w:space="0"/>
            </w:tcBorders>
            <w:vAlign w:val="center"/>
          </w:tcPr>
          <w:p>
            <w:pPr>
              <w:jc w:val="both"/>
              <w:rPr>
                <w:rFonts w:hint="eastAsia" w:ascii="宋体" w:hAnsi="宋体" w:eastAsia="宋体" w:cs="宋体"/>
                <w:kern w:val="2"/>
                <w:sz w:val="21"/>
                <w:szCs w:val="21"/>
                <w:lang w:val="en-US"/>
              </w:rPr>
            </w:pP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所属行政区划是否符合相应的标准</w:t>
            </w:r>
          </w:p>
        </w:tc>
        <w:tc>
          <w:tcPr>
            <w:tcW w:w="1311" w:type="pct"/>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所属行政区划</w:t>
            </w:r>
          </w:p>
        </w:tc>
        <w:tc>
          <w:tcPr>
            <w:tcW w:w="1934" w:type="pct"/>
            <w:tcBorders>
              <w:top w:val="nil"/>
              <w:left w:val="nil"/>
              <w:bottom w:val="single" w:color="auto" w:sz="4" w:space="0"/>
            </w:tcBorders>
            <w:shd w:val="clear" w:color="auto" w:fill="auto"/>
            <w:vAlign w:val="center"/>
          </w:tcPr>
          <w:p>
            <w:pP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rPr>
              <w:t>行政区划应符合《GB/T 2260-2007中华人民共和国行政区划代码》的编码规则，并依据最新区划进行扩展</w:t>
            </w:r>
            <w:r>
              <w:rPr>
                <w:rFonts w:hint="eastAsia" w:ascii="宋体" w:hAnsi="宋体" w:eastAsia="宋体" w:cs="宋体"/>
                <w:kern w:val="2"/>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7</w:t>
            </w:r>
          </w:p>
        </w:tc>
        <w:tc>
          <w:tcPr>
            <w:tcW w:w="342" w:type="pct"/>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vMerge w:val="continue"/>
            <w:tcBorders>
              <w:top w:val="nil"/>
              <w:left w:val="single" w:color="auto" w:sz="4" w:space="0"/>
              <w:bottom w:val="single" w:color="auto" w:sz="4" w:space="0"/>
              <w:right w:val="single" w:color="auto" w:sz="4" w:space="0"/>
            </w:tcBorders>
            <w:vAlign w:val="center"/>
          </w:tcPr>
          <w:p>
            <w:pPr>
              <w:jc w:val="both"/>
              <w:rPr>
                <w:rFonts w:hint="eastAsia" w:ascii="宋体" w:hAnsi="宋体" w:eastAsia="宋体" w:cs="宋体"/>
                <w:kern w:val="2"/>
                <w:sz w:val="21"/>
                <w:szCs w:val="21"/>
                <w:lang w:val="en-US"/>
              </w:rPr>
            </w:pP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登记机关规范性检查</w:t>
            </w:r>
          </w:p>
        </w:tc>
        <w:tc>
          <w:tcPr>
            <w:tcW w:w="1311" w:type="pct"/>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登记机关</w:t>
            </w:r>
          </w:p>
        </w:tc>
        <w:tc>
          <w:tcPr>
            <w:tcW w:w="1934" w:type="pct"/>
            <w:tcBorders>
              <w:top w:val="nil"/>
              <w:left w:val="nil"/>
              <w:bottom w:val="single" w:color="auto" w:sz="4" w:space="0"/>
            </w:tcBorders>
            <w:shd w:val="clear" w:color="auto" w:fill="auto"/>
            <w:vAlign w:val="center"/>
          </w:tcPr>
          <w:p>
            <w:pP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rPr>
              <w:t>登记机关应该符合行业标准《SG 3-2021 市场监管基础代码集》</w:t>
            </w:r>
            <w:r>
              <w:rPr>
                <w:rFonts w:hint="eastAsia" w:ascii="宋体" w:hAnsi="宋体" w:eastAsia="宋体" w:cs="宋体"/>
                <w:kern w:val="2"/>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8</w:t>
            </w:r>
          </w:p>
        </w:tc>
        <w:tc>
          <w:tcPr>
            <w:tcW w:w="342" w:type="pct"/>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vMerge w:val="restart"/>
            <w:tcBorders>
              <w:top w:val="nil"/>
              <w:left w:val="single" w:color="auto" w:sz="4" w:space="0"/>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完整性</w:t>
            </w: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法人基本信息非空检查</w:t>
            </w:r>
          </w:p>
        </w:tc>
        <w:tc>
          <w:tcPr>
            <w:tcW w:w="1311"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机构名称、机构类型、注册地址、经营范围、法定代表人或负责人姓名、法定代表人或负责人证件类型、法定代表人或负责人证件号码不可为空</w:t>
            </w:r>
          </w:p>
        </w:tc>
        <w:tc>
          <w:tcPr>
            <w:tcW w:w="1934" w:type="pct"/>
            <w:tcBorders>
              <w:top w:val="nil"/>
              <w:left w:val="nil"/>
              <w:bottom w:val="single" w:color="auto" w:sz="4" w:space="0"/>
            </w:tcBorders>
            <w:shd w:val="clear" w:color="auto" w:fill="auto"/>
            <w:vAlign w:val="center"/>
          </w:tcPr>
          <w:p>
            <w:pP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rPr>
              <w:t>机构名称、机构类型、注册地址、经营范围、法定代表人或负责人姓名、法定代表人或负责人证件类型、法定代表人或负责人证件号码不可为空</w:t>
            </w:r>
            <w:r>
              <w:rPr>
                <w:rFonts w:hint="eastAsia" w:ascii="宋体" w:hAnsi="宋体" w:eastAsia="宋体" w:cs="宋体"/>
                <w:kern w:val="2"/>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249" w:type="pct"/>
            <w:tcBorders>
              <w:top w:val="nil"/>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9</w:t>
            </w:r>
          </w:p>
        </w:tc>
        <w:tc>
          <w:tcPr>
            <w:tcW w:w="342" w:type="pct"/>
            <w:vMerge w:val="continue"/>
            <w:tcBorders>
              <w:top w:val="nil"/>
              <w:left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vMerge w:val="continue"/>
            <w:tcBorders>
              <w:top w:val="nil"/>
              <w:left w:val="single" w:color="auto" w:sz="4" w:space="0"/>
              <w:right w:val="single" w:color="auto" w:sz="4" w:space="0"/>
            </w:tcBorders>
            <w:vAlign w:val="center"/>
          </w:tcPr>
          <w:p>
            <w:pPr>
              <w:jc w:val="both"/>
              <w:rPr>
                <w:rFonts w:hint="eastAsia" w:ascii="宋体" w:hAnsi="宋体" w:eastAsia="宋体" w:cs="宋体"/>
                <w:kern w:val="2"/>
                <w:sz w:val="21"/>
                <w:szCs w:val="21"/>
                <w:lang w:val="en-US"/>
              </w:rPr>
            </w:pPr>
          </w:p>
        </w:tc>
        <w:tc>
          <w:tcPr>
            <w:tcW w:w="820" w:type="pct"/>
            <w:tcBorders>
              <w:top w:val="nil"/>
              <w:left w:val="nil"/>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注册资本和注册资本币种相互对应检查</w:t>
            </w:r>
          </w:p>
        </w:tc>
        <w:tc>
          <w:tcPr>
            <w:tcW w:w="1311" w:type="pct"/>
            <w:tcBorders>
              <w:top w:val="nil"/>
              <w:left w:val="nil"/>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注册资本、注册资本币种</w:t>
            </w:r>
          </w:p>
        </w:tc>
        <w:tc>
          <w:tcPr>
            <w:tcW w:w="1934" w:type="pct"/>
            <w:tcBorders>
              <w:top w:val="nil"/>
              <w:left w:val="nil"/>
            </w:tcBorders>
            <w:shd w:val="clear" w:color="auto" w:fill="auto"/>
            <w:vAlign w:val="center"/>
          </w:tcPr>
          <w:p>
            <w:pP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注册资本和注册资本币种需要同时存在。当注册资本有记录时，注册资本币种应当有相应的类型，反之亦然。</w:t>
            </w:r>
          </w:p>
        </w:tc>
      </w:tr>
    </w:tbl>
    <w:p>
      <w:pPr>
        <w:rPr>
          <w:rFonts w:hint="eastAsia" w:hAnsi="Times New Roman" w:cs="Times New Roman"/>
        </w:rPr>
      </w:pPr>
      <w:r>
        <w:rPr>
          <w:rFonts w:hint="eastAsia" w:hAnsi="Times New Roman" w:cs="Times New Roman"/>
        </w:rPr>
        <w:br w:type="page"/>
      </w:r>
    </w:p>
    <w:p>
      <w:pPr>
        <w:pStyle w:val="84"/>
        <w:numPr>
          <w:ilvl w:val="1"/>
          <w:numId w:val="38"/>
        </w:numPr>
        <w:spacing w:before="158" w:after="158"/>
        <w:rPr>
          <w:rFonts w:hint="eastAsia" w:hAnsi="Times New Roman" w:cs="Times New Roman"/>
        </w:rPr>
      </w:pPr>
      <w:r>
        <w:rPr>
          <w:rFonts w:hint="eastAsia" w:cs="Times New Roman"/>
          <w:lang w:val="en-US" w:eastAsia="zh-CN"/>
        </w:rPr>
        <w:t xml:space="preserve"> </w:t>
      </w:r>
      <w:r>
        <w:rPr>
          <w:rFonts w:hint="eastAsia" w:hAnsi="Times New Roman" w:cs="Times New Roman"/>
        </w:rPr>
        <w:t>市场主体注册登记核心数据质量规则示例</w:t>
      </w:r>
      <w:r>
        <w:rPr>
          <w:rFonts w:hint="eastAsia" w:ascii="宋体" w:hAnsi="宋体" w:eastAsia="宋体" w:cs="宋体"/>
          <w:lang w:eastAsia="zh-CN"/>
        </w:rPr>
        <w:t>（</w:t>
      </w:r>
      <w:r>
        <w:rPr>
          <w:rFonts w:hint="eastAsia" w:ascii="宋体" w:hAnsi="宋体" w:eastAsia="宋体" w:cs="宋体"/>
          <w:lang w:val="en-US" w:eastAsia="zh-CN"/>
        </w:rPr>
        <w:t>续</w:t>
      </w:r>
      <w:r>
        <w:rPr>
          <w:rFonts w:hint="eastAsia" w:ascii="宋体" w:hAnsi="宋体" w:eastAsia="宋体" w:cs="宋体"/>
          <w:lang w:eastAsia="zh-CN"/>
        </w:rPr>
        <w:t>）</w:t>
      </w:r>
    </w:p>
    <w:tbl>
      <w:tblPr>
        <w:tblStyle w:val="31"/>
        <w:tblW w:w="5000" w:type="pct"/>
        <w:tblInd w:w="0" w:type="dxa"/>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
      <w:tblGrid>
        <w:gridCol w:w="463"/>
        <w:gridCol w:w="636"/>
        <w:gridCol w:w="636"/>
        <w:gridCol w:w="1524"/>
        <w:gridCol w:w="2436"/>
        <w:gridCol w:w="3593"/>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9" w:type="pct"/>
            <w:tcBorders>
              <w:bottom w:val="single" w:color="auto" w:sz="4" w:space="0"/>
              <w:right w:val="single" w:color="auto" w:sz="4" w:space="0"/>
            </w:tcBorders>
            <w:shd w:val="clear" w:color="auto" w:fill="auto"/>
            <w:noWrap/>
            <w:vAlign w:val="center"/>
          </w:tcPr>
          <w:p>
            <w:pPr>
              <w:jc w:val="left"/>
              <w:rPr>
                <w:rFonts w:ascii="宋体" w:hAnsi="宋体" w:eastAsia="宋体"/>
                <w:b/>
                <w:bCs/>
                <w:color w:val="000000"/>
                <w:sz w:val="20"/>
                <w:szCs w:val="20"/>
              </w:rPr>
            </w:pPr>
            <w:r>
              <w:rPr>
                <w:rFonts w:hint="eastAsia" w:ascii="宋体" w:hAnsi="宋体" w:eastAsia="宋体"/>
                <w:b/>
                <w:bCs/>
                <w:color w:val="000000"/>
                <w:sz w:val="20"/>
                <w:szCs w:val="20"/>
              </w:rPr>
              <w:t>序号</w:t>
            </w:r>
          </w:p>
        </w:tc>
        <w:tc>
          <w:tcPr>
            <w:tcW w:w="342" w:type="pct"/>
            <w:tcBorders>
              <w:left w:val="nil"/>
              <w:bottom w:val="single" w:color="auto" w:sz="4" w:space="0"/>
              <w:right w:val="single" w:color="auto" w:sz="4" w:space="0"/>
            </w:tcBorders>
            <w:shd w:val="clear" w:color="auto" w:fill="auto"/>
            <w:noWrap/>
            <w:vAlign w:val="center"/>
          </w:tcPr>
          <w:p>
            <w:pPr>
              <w:rPr>
                <w:rFonts w:hint="eastAsia" w:ascii="宋体" w:hAnsi="宋体" w:eastAsia="宋体"/>
                <w:b/>
                <w:bCs/>
                <w:color w:val="000000"/>
                <w:sz w:val="20"/>
                <w:szCs w:val="20"/>
              </w:rPr>
            </w:pPr>
            <w:r>
              <w:rPr>
                <w:rFonts w:hint="eastAsia" w:ascii="宋体" w:hAnsi="宋体" w:eastAsia="宋体"/>
                <w:b/>
                <w:bCs/>
                <w:color w:val="000000"/>
                <w:sz w:val="20"/>
                <w:szCs w:val="20"/>
              </w:rPr>
              <w:t>一级指标</w:t>
            </w:r>
          </w:p>
        </w:tc>
        <w:tc>
          <w:tcPr>
            <w:tcW w:w="342" w:type="pct"/>
            <w:tcBorders>
              <w:left w:val="nil"/>
              <w:bottom w:val="single" w:color="auto" w:sz="4" w:space="0"/>
              <w:right w:val="single" w:color="auto" w:sz="4" w:space="0"/>
            </w:tcBorders>
            <w:shd w:val="clear" w:color="auto" w:fill="auto"/>
            <w:noWrap/>
            <w:vAlign w:val="center"/>
          </w:tcPr>
          <w:p>
            <w:pPr>
              <w:rPr>
                <w:rFonts w:hint="eastAsia" w:ascii="宋体" w:hAnsi="宋体" w:eastAsia="宋体"/>
                <w:b/>
                <w:bCs/>
                <w:color w:val="000000"/>
                <w:sz w:val="20"/>
                <w:szCs w:val="20"/>
              </w:rPr>
            </w:pPr>
            <w:r>
              <w:rPr>
                <w:rFonts w:hint="eastAsia" w:ascii="宋体" w:hAnsi="宋体" w:eastAsia="宋体"/>
                <w:b/>
                <w:bCs/>
                <w:color w:val="000000"/>
                <w:sz w:val="20"/>
                <w:szCs w:val="20"/>
              </w:rPr>
              <w:t>二级指标</w:t>
            </w:r>
          </w:p>
        </w:tc>
        <w:tc>
          <w:tcPr>
            <w:tcW w:w="820" w:type="pct"/>
            <w:tcBorders>
              <w:left w:val="nil"/>
              <w:bottom w:val="single" w:color="auto" w:sz="4" w:space="0"/>
              <w:right w:val="single" w:color="auto" w:sz="4" w:space="0"/>
            </w:tcBorders>
            <w:shd w:val="clear" w:color="auto" w:fill="auto"/>
            <w:noWrap/>
            <w:vAlign w:val="center"/>
          </w:tcPr>
          <w:p>
            <w:pPr>
              <w:rPr>
                <w:rFonts w:hint="eastAsia" w:ascii="宋体" w:hAnsi="宋体" w:eastAsia="宋体"/>
                <w:b/>
                <w:bCs/>
                <w:color w:val="000000"/>
                <w:sz w:val="20"/>
                <w:szCs w:val="20"/>
              </w:rPr>
            </w:pPr>
            <w:r>
              <w:rPr>
                <w:rFonts w:hint="eastAsia" w:ascii="宋体" w:hAnsi="宋体" w:eastAsia="宋体"/>
                <w:b/>
                <w:bCs/>
                <w:color w:val="000000"/>
                <w:sz w:val="20"/>
                <w:szCs w:val="20"/>
              </w:rPr>
              <w:t>数据质量规则</w:t>
            </w:r>
          </w:p>
        </w:tc>
        <w:tc>
          <w:tcPr>
            <w:tcW w:w="1311" w:type="pct"/>
            <w:tcBorders>
              <w:left w:val="nil"/>
              <w:bottom w:val="single" w:color="auto" w:sz="4" w:space="0"/>
              <w:right w:val="single" w:color="auto" w:sz="4" w:space="0"/>
            </w:tcBorders>
            <w:shd w:val="clear" w:color="auto" w:fill="auto"/>
            <w:noWrap/>
            <w:vAlign w:val="center"/>
          </w:tcPr>
          <w:p>
            <w:pPr>
              <w:rPr>
                <w:rFonts w:hint="eastAsia" w:ascii="宋体" w:hAnsi="宋体" w:eastAsia="宋体"/>
                <w:b/>
                <w:bCs/>
                <w:color w:val="000000"/>
                <w:sz w:val="20"/>
                <w:szCs w:val="20"/>
              </w:rPr>
            </w:pPr>
            <w:r>
              <w:rPr>
                <w:rFonts w:hint="eastAsia" w:ascii="宋体" w:hAnsi="宋体" w:eastAsia="宋体"/>
                <w:b/>
                <w:bCs/>
                <w:color w:val="000000"/>
                <w:sz w:val="20"/>
                <w:szCs w:val="20"/>
              </w:rPr>
              <w:t>评测字段</w:t>
            </w:r>
          </w:p>
        </w:tc>
        <w:tc>
          <w:tcPr>
            <w:tcW w:w="1934" w:type="pct"/>
            <w:tcBorders>
              <w:left w:val="nil"/>
              <w:bottom w:val="single" w:color="auto" w:sz="4" w:space="0"/>
            </w:tcBorders>
            <w:shd w:val="clear" w:color="auto" w:fill="auto"/>
            <w:noWrap/>
            <w:vAlign w:val="center"/>
          </w:tcPr>
          <w:p>
            <w:pPr>
              <w:rPr>
                <w:rFonts w:hint="eastAsia" w:ascii="宋体" w:hAnsi="宋体" w:eastAsia="宋体"/>
                <w:b/>
                <w:bCs/>
                <w:color w:val="000000"/>
                <w:sz w:val="20"/>
                <w:szCs w:val="20"/>
              </w:rPr>
            </w:pPr>
            <w:r>
              <w:rPr>
                <w:rFonts w:hint="eastAsia" w:ascii="宋体" w:hAnsi="宋体" w:eastAsia="宋体"/>
                <w:b/>
                <w:bCs/>
                <w:color w:val="000000"/>
                <w:sz w:val="20"/>
                <w:szCs w:val="20"/>
              </w:rPr>
              <w:t>数据质量规则描述</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10</w:t>
            </w:r>
          </w:p>
        </w:tc>
        <w:tc>
          <w:tcPr>
            <w:tcW w:w="342" w:type="pct"/>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数据质量指标</w:t>
            </w:r>
          </w:p>
        </w:tc>
        <w:tc>
          <w:tcPr>
            <w:tcW w:w="342" w:type="pct"/>
            <w:vMerge w:val="restart"/>
            <w:tcBorders>
              <w:top w:val="nil"/>
              <w:left w:val="single" w:color="auto" w:sz="4" w:space="0"/>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准确性</w:t>
            </w: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经营期限自和经营期限至的逻辑检查</w:t>
            </w:r>
          </w:p>
        </w:tc>
        <w:tc>
          <w:tcPr>
            <w:tcW w:w="1311" w:type="pct"/>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经营期限自、经营期限至</w:t>
            </w:r>
          </w:p>
        </w:tc>
        <w:tc>
          <w:tcPr>
            <w:tcW w:w="1934" w:type="pct"/>
            <w:tcBorders>
              <w:top w:val="nil"/>
              <w:left w:val="nil"/>
              <w:bottom w:val="single" w:color="auto" w:sz="4" w:space="0"/>
            </w:tcBorders>
            <w:shd w:val="clear" w:color="auto" w:fill="auto"/>
            <w:vAlign w:val="center"/>
          </w:tcPr>
          <w:p>
            <w:pP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rPr>
              <w:t>经营</w:t>
            </w:r>
            <w:r>
              <w:rPr>
                <w:rFonts w:hint="eastAsia" w:ascii="宋体" w:hAnsi="宋体" w:eastAsia="宋体" w:cs="宋体"/>
                <w:kern w:val="2"/>
                <w:sz w:val="21"/>
                <w:szCs w:val="21"/>
                <w:lang w:val="en-US" w:eastAsia="zh-CN"/>
              </w:rPr>
              <w:t>（</w:t>
            </w:r>
            <w:r>
              <w:rPr>
                <w:rFonts w:hint="eastAsia" w:ascii="宋体" w:hAnsi="宋体" w:eastAsia="宋体" w:cs="宋体"/>
                <w:kern w:val="2"/>
                <w:sz w:val="21"/>
                <w:szCs w:val="21"/>
                <w:lang w:val="en-US"/>
              </w:rPr>
              <w:t>驻在</w:t>
            </w:r>
            <w:r>
              <w:rPr>
                <w:rFonts w:hint="eastAsia" w:ascii="宋体" w:hAnsi="宋体" w:eastAsia="宋体" w:cs="宋体"/>
                <w:kern w:val="2"/>
                <w:sz w:val="21"/>
                <w:szCs w:val="21"/>
                <w:lang w:val="en-US" w:eastAsia="zh-CN"/>
              </w:rPr>
              <w:t>）</w:t>
            </w:r>
            <w:r>
              <w:rPr>
                <w:rFonts w:hint="eastAsia" w:ascii="宋体" w:hAnsi="宋体" w:eastAsia="宋体" w:cs="宋体"/>
                <w:kern w:val="2"/>
                <w:sz w:val="21"/>
                <w:szCs w:val="21"/>
                <w:lang w:val="en-US"/>
              </w:rPr>
              <w:t>期限至不得早于经营</w:t>
            </w:r>
            <w:r>
              <w:rPr>
                <w:rFonts w:hint="eastAsia" w:ascii="宋体" w:hAnsi="宋体" w:eastAsia="宋体" w:cs="宋体"/>
                <w:kern w:val="2"/>
                <w:sz w:val="21"/>
                <w:szCs w:val="21"/>
                <w:lang w:val="en-US" w:eastAsia="zh-CN"/>
              </w:rPr>
              <w:t>（</w:t>
            </w:r>
            <w:r>
              <w:rPr>
                <w:rFonts w:hint="eastAsia" w:ascii="宋体" w:hAnsi="宋体" w:eastAsia="宋体" w:cs="宋体"/>
                <w:kern w:val="2"/>
                <w:sz w:val="21"/>
                <w:szCs w:val="21"/>
                <w:lang w:val="en-US"/>
              </w:rPr>
              <w:t>驻在</w:t>
            </w:r>
            <w:r>
              <w:rPr>
                <w:rFonts w:hint="eastAsia" w:ascii="宋体" w:hAnsi="宋体" w:eastAsia="宋体" w:cs="宋体"/>
                <w:kern w:val="2"/>
                <w:sz w:val="21"/>
                <w:szCs w:val="21"/>
                <w:lang w:val="en-US" w:eastAsia="zh-CN"/>
              </w:rPr>
              <w:t>）</w:t>
            </w:r>
            <w:r>
              <w:rPr>
                <w:rFonts w:hint="eastAsia" w:ascii="宋体" w:hAnsi="宋体" w:eastAsia="宋体" w:cs="宋体"/>
                <w:kern w:val="2"/>
                <w:sz w:val="21"/>
                <w:szCs w:val="21"/>
                <w:lang w:val="en-US"/>
              </w:rPr>
              <w:t>期限自</w:t>
            </w:r>
            <w:r>
              <w:rPr>
                <w:rFonts w:hint="eastAsia" w:ascii="宋体" w:hAnsi="宋体" w:eastAsia="宋体" w:cs="宋体"/>
                <w:kern w:val="2"/>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11</w:t>
            </w:r>
          </w:p>
        </w:tc>
        <w:tc>
          <w:tcPr>
            <w:tcW w:w="342" w:type="pct"/>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vMerge w:val="continue"/>
            <w:tcBorders>
              <w:top w:val="nil"/>
              <w:left w:val="single" w:color="auto" w:sz="4" w:space="0"/>
              <w:bottom w:val="single" w:color="auto" w:sz="4" w:space="0"/>
              <w:right w:val="single" w:color="auto" w:sz="4" w:space="0"/>
            </w:tcBorders>
            <w:vAlign w:val="center"/>
          </w:tcPr>
          <w:p>
            <w:pPr>
              <w:jc w:val="both"/>
              <w:rPr>
                <w:rFonts w:hint="eastAsia" w:ascii="宋体" w:hAnsi="宋体" w:eastAsia="宋体" w:cs="宋体"/>
                <w:kern w:val="2"/>
                <w:sz w:val="21"/>
                <w:szCs w:val="21"/>
                <w:lang w:val="en-US"/>
              </w:rPr>
            </w:pP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统一社会信用代码唯一性检查</w:t>
            </w:r>
          </w:p>
        </w:tc>
        <w:tc>
          <w:tcPr>
            <w:tcW w:w="1311"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统一社会信用代码在检查表中不可重复</w:t>
            </w:r>
          </w:p>
        </w:tc>
        <w:tc>
          <w:tcPr>
            <w:tcW w:w="1934" w:type="pct"/>
            <w:tcBorders>
              <w:top w:val="nil"/>
              <w:left w:val="nil"/>
              <w:bottom w:val="single" w:color="auto" w:sz="4" w:space="0"/>
            </w:tcBorders>
            <w:shd w:val="clear" w:color="auto" w:fill="auto"/>
            <w:vAlign w:val="center"/>
          </w:tcPr>
          <w:p>
            <w:pP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rPr>
              <w:t>统一社会信用代码为市场主体唯一标识，不允许重复</w:t>
            </w:r>
            <w:r>
              <w:rPr>
                <w:rFonts w:hint="eastAsia" w:ascii="宋体" w:hAnsi="宋体" w:eastAsia="宋体" w:cs="宋体"/>
                <w:kern w:val="2"/>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PrEx>
        <w:trPr>
          <w:trHeight w:val="600"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12</w:t>
            </w:r>
          </w:p>
        </w:tc>
        <w:tc>
          <w:tcPr>
            <w:tcW w:w="342" w:type="pct"/>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vMerge w:val="continue"/>
            <w:tcBorders>
              <w:top w:val="nil"/>
              <w:left w:val="single" w:color="auto" w:sz="4" w:space="0"/>
              <w:bottom w:val="single" w:color="auto" w:sz="4" w:space="0"/>
              <w:right w:val="single" w:color="auto" w:sz="4" w:space="0"/>
            </w:tcBorders>
            <w:vAlign w:val="center"/>
          </w:tcPr>
          <w:p>
            <w:pPr>
              <w:jc w:val="both"/>
              <w:rPr>
                <w:rFonts w:hint="eastAsia" w:ascii="宋体" w:hAnsi="宋体" w:eastAsia="宋体" w:cs="宋体"/>
                <w:kern w:val="2"/>
                <w:sz w:val="21"/>
                <w:szCs w:val="21"/>
                <w:lang w:val="en-US"/>
              </w:rPr>
            </w:pP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成立日期和核准日期的逻辑检查</w:t>
            </w:r>
          </w:p>
        </w:tc>
        <w:tc>
          <w:tcPr>
            <w:tcW w:w="1311" w:type="pct"/>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核准日期、成立日期</w:t>
            </w:r>
          </w:p>
        </w:tc>
        <w:tc>
          <w:tcPr>
            <w:tcW w:w="1934" w:type="pct"/>
            <w:tcBorders>
              <w:top w:val="nil"/>
              <w:left w:val="nil"/>
              <w:bottom w:val="single" w:color="auto" w:sz="4" w:space="0"/>
            </w:tcBorders>
            <w:shd w:val="clear" w:color="auto" w:fill="auto"/>
            <w:vAlign w:val="center"/>
          </w:tcPr>
          <w:p>
            <w:pP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rPr>
              <w:t>核准日期不得早于成立日期</w:t>
            </w:r>
            <w:r>
              <w:rPr>
                <w:rFonts w:hint="eastAsia" w:ascii="宋体" w:hAnsi="宋体" w:eastAsia="宋体" w:cs="宋体"/>
                <w:kern w:val="2"/>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13</w:t>
            </w:r>
          </w:p>
        </w:tc>
        <w:tc>
          <w:tcPr>
            <w:tcW w:w="342" w:type="pct"/>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vMerge w:val="restart"/>
            <w:tcBorders>
              <w:top w:val="nil"/>
              <w:left w:val="single" w:color="auto" w:sz="4" w:space="0"/>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一致性</w:t>
            </w: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法定代表人或负责人信息与人口基础数据是否一致</w:t>
            </w:r>
          </w:p>
        </w:tc>
        <w:tc>
          <w:tcPr>
            <w:tcW w:w="1311" w:type="pct"/>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法定代表人或负责人姓名、证件号码</w:t>
            </w:r>
          </w:p>
        </w:tc>
        <w:tc>
          <w:tcPr>
            <w:tcW w:w="1934" w:type="pct"/>
            <w:tcBorders>
              <w:top w:val="nil"/>
              <w:left w:val="nil"/>
              <w:bottom w:val="single" w:color="auto" w:sz="4" w:space="0"/>
            </w:tcBorders>
            <w:shd w:val="clear" w:color="auto" w:fill="auto"/>
            <w:vAlign w:val="center"/>
          </w:tcPr>
          <w:p>
            <w:pP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rPr>
              <w:t>法定代表人基本信息与人口基础数据交叉比对，结果是否一致</w:t>
            </w:r>
            <w:r>
              <w:rPr>
                <w:rFonts w:hint="eastAsia" w:ascii="宋体" w:hAnsi="宋体" w:eastAsia="宋体" w:cs="宋体"/>
                <w:kern w:val="2"/>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14</w:t>
            </w:r>
          </w:p>
        </w:tc>
        <w:tc>
          <w:tcPr>
            <w:tcW w:w="342" w:type="pct"/>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vMerge w:val="continue"/>
            <w:tcBorders>
              <w:top w:val="nil"/>
              <w:left w:val="single" w:color="auto" w:sz="4" w:space="0"/>
              <w:bottom w:val="single" w:color="auto" w:sz="4" w:space="0"/>
              <w:right w:val="single" w:color="auto" w:sz="4" w:space="0"/>
            </w:tcBorders>
            <w:vAlign w:val="center"/>
          </w:tcPr>
          <w:p>
            <w:pPr>
              <w:jc w:val="both"/>
              <w:rPr>
                <w:rFonts w:hint="eastAsia" w:ascii="宋体" w:hAnsi="宋体" w:eastAsia="宋体" w:cs="宋体"/>
                <w:kern w:val="2"/>
                <w:sz w:val="21"/>
                <w:szCs w:val="21"/>
                <w:lang w:val="en-US"/>
              </w:rPr>
            </w:pP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企业信息的最新数据检查</w:t>
            </w:r>
          </w:p>
        </w:tc>
        <w:tc>
          <w:tcPr>
            <w:tcW w:w="1311"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企业名称、经营范围、住所、法定代表人、市场主体类型、注册资本</w:t>
            </w:r>
          </w:p>
        </w:tc>
        <w:tc>
          <w:tcPr>
            <w:tcW w:w="1934" w:type="pct"/>
            <w:tcBorders>
              <w:top w:val="nil"/>
              <w:left w:val="nil"/>
              <w:bottom w:val="single" w:color="auto" w:sz="4" w:space="0"/>
            </w:tcBorders>
            <w:shd w:val="clear" w:color="auto" w:fill="auto"/>
            <w:vAlign w:val="center"/>
          </w:tcPr>
          <w:p>
            <w:pP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rPr>
              <w:t>企业名称、经营范围、住所、法定代表人、市场主体类型、注册资本与变更备案信息表中最新的变更一致</w:t>
            </w:r>
            <w:r>
              <w:rPr>
                <w:rFonts w:hint="eastAsia" w:ascii="宋体" w:hAnsi="宋体" w:eastAsia="宋体" w:cs="宋体"/>
                <w:kern w:val="2"/>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9" w:type="pct"/>
            <w:tcBorders>
              <w:top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15</w:t>
            </w:r>
          </w:p>
        </w:tc>
        <w:tc>
          <w:tcPr>
            <w:tcW w:w="342" w:type="pct"/>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时效性</w:t>
            </w:r>
          </w:p>
        </w:tc>
        <w:tc>
          <w:tcPr>
            <w:tcW w:w="820" w:type="pct"/>
            <w:tcBorders>
              <w:top w:val="nil"/>
              <w:left w:val="nil"/>
              <w:bottom w:val="single" w:color="auto" w:sz="4" w:space="0"/>
              <w:right w:val="single" w:color="auto" w:sz="4" w:space="0"/>
            </w:tcBorders>
            <w:shd w:val="clear" w:color="auto" w:fill="auto"/>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数据更新时间是否满足应用需求</w:t>
            </w:r>
          </w:p>
        </w:tc>
        <w:tc>
          <w:tcPr>
            <w:tcW w:w="1311" w:type="pct"/>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数据更新时间</w:t>
            </w:r>
          </w:p>
        </w:tc>
        <w:tc>
          <w:tcPr>
            <w:tcW w:w="1934" w:type="pct"/>
            <w:tcBorders>
              <w:top w:val="nil"/>
              <w:left w:val="nil"/>
              <w:bottom w:val="single" w:color="auto" w:sz="4" w:space="0"/>
            </w:tcBorders>
            <w:shd w:val="clear" w:color="auto" w:fill="auto"/>
            <w:vAlign w:val="center"/>
          </w:tcPr>
          <w:p>
            <w:pP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rPr>
              <w:t>检测核准时间与数据入库时间的差是否在指定区间内</w:t>
            </w:r>
            <w:r>
              <w:rPr>
                <w:rFonts w:hint="eastAsia" w:ascii="宋体" w:hAnsi="宋体" w:eastAsia="宋体" w:cs="宋体"/>
                <w:kern w:val="2"/>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PrEx>
        <w:trPr>
          <w:trHeight w:val="320" w:hRule="atLeast"/>
        </w:trPr>
        <w:tc>
          <w:tcPr>
            <w:tcW w:w="249" w:type="pct"/>
            <w:tcBorders>
              <w:top w:val="nil"/>
              <w:right w:val="single" w:color="auto" w:sz="4" w:space="0"/>
            </w:tcBorders>
            <w:shd w:val="clear" w:color="auto" w:fill="auto"/>
            <w:noWrap/>
            <w:vAlign w:val="center"/>
          </w:tcPr>
          <w:p>
            <w:pPr>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16</w:t>
            </w:r>
          </w:p>
        </w:tc>
        <w:tc>
          <w:tcPr>
            <w:tcW w:w="342" w:type="pct"/>
            <w:vMerge w:val="continue"/>
            <w:tcBorders>
              <w:top w:val="nil"/>
              <w:left w:val="single" w:color="auto" w:sz="4" w:space="0"/>
              <w:right w:val="single" w:color="auto" w:sz="4" w:space="0"/>
            </w:tcBorders>
            <w:vAlign w:val="center"/>
          </w:tcPr>
          <w:p>
            <w:pPr>
              <w:rPr>
                <w:rFonts w:hint="eastAsia" w:ascii="宋体" w:hAnsi="宋体" w:eastAsia="宋体" w:cs="宋体"/>
                <w:kern w:val="2"/>
                <w:sz w:val="21"/>
                <w:szCs w:val="21"/>
                <w:lang w:val="en-US"/>
              </w:rPr>
            </w:pPr>
          </w:p>
        </w:tc>
        <w:tc>
          <w:tcPr>
            <w:tcW w:w="342" w:type="pct"/>
            <w:tcBorders>
              <w:top w:val="nil"/>
              <w:left w:val="nil"/>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可访问性</w:t>
            </w:r>
          </w:p>
        </w:tc>
        <w:tc>
          <w:tcPr>
            <w:tcW w:w="820" w:type="pct"/>
            <w:tcBorders>
              <w:top w:val="nil"/>
              <w:left w:val="nil"/>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所有数据均可正常获取</w:t>
            </w:r>
          </w:p>
        </w:tc>
        <w:tc>
          <w:tcPr>
            <w:tcW w:w="1311" w:type="pct"/>
            <w:tcBorders>
              <w:top w:val="nil"/>
              <w:left w:val="nil"/>
              <w:right w:val="single" w:color="auto" w:sz="4" w:space="0"/>
            </w:tcBorders>
            <w:shd w:val="clear" w:color="auto" w:fill="auto"/>
            <w:noWrap/>
            <w:vAlign w:val="center"/>
          </w:tcPr>
          <w:p>
            <w:pPr>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　</w:t>
            </w:r>
          </w:p>
        </w:tc>
        <w:tc>
          <w:tcPr>
            <w:tcW w:w="1934" w:type="pct"/>
            <w:tcBorders>
              <w:top w:val="nil"/>
              <w:left w:val="nil"/>
            </w:tcBorders>
            <w:shd w:val="clear" w:color="auto" w:fill="auto"/>
            <w:noWrap/>
            <w:vAlign w:val="center"/>
          </w:tcPr>
          <w:p>
            <w:pP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rPr>
              <w:t>在指定周期内的市场主体数据均可正常获取</w:t>
            </w:r>
            <w:r>
              <w:rPr>
                <w:rFonts w:hint="eastAsia" w:ascii="宋体" w:hAnsi="宋体" w:eastAsia="宋体" w:cs="宋体"/>
                <w:kern w:val="2"/>
                <w:sz w:val="21"/>
                <w:szCs w:val="21"/>
                <w:lang w:val="en-US" w:eastAsia="zh-CN"/>
              </w:rPr>
              <w:t>。</w:t>
            </w:r>
          </w:p>
        </w:tc>
      </w:tr>
    </w:tbl>
    <w:p>
      <w:pPr>
        <w:pStyle w:val="84"/>
        <w:numPr>
          <w:ilvl w:val="1"/>
          <w:numId w:val="38"/>
        </w:numPr>
        <w:spacing w:before="158" w:after="158"/>
        <w:rPr>
          <w:rFonts w:hint="eastAsia"/>
          <w:lang w:val="zh-CN"/>
        </w:rPr>
        <w:sectPr>
          <w:pgSz w:w="11906" w:h="16838"/>
          <w:pgMar w:top="1417" w:right="1134" w:bottom="1134" w:left="1417" w:header="1417" w:footer="1134" w:gutter="283"/>
          <w:cols w:space="0" w:num="1"/>
          <w:formProt w:val="0"/>
          <w:docGrid w:type="lines" w:linePitch="317" w:charSpace="0"/>
        </w:sectPr>
      </w:pPr>
    </w:p>
    <w:bookmarkEnd w:id="105"/>
    <w:bookmarkEnd w:id="106"/>
    <w:bookmarkEnd w:id="107"/>
    <w:p>
      <w:pPr>
        <w:pStyle w:val="13"/>
        <w:keepNext w:val="0"/>
        <w:keepLines w:val="0"/>
        <w:pageBreakBefore w:val="0"/>
        <w:widowControl w:val="0"/>
        <w:kinsoku/>
        <w:wordWrap/>
        <w:overflowPunct/>
        <w:topLinePunct w:val="0"/>
        <w:autoSpaceDE/>
        <w:autoSpaceDN/>
        <w:bidi w:val="0"/>
        <w:adjustRightInd w:val="0"/>
        <w:snapToGrid w:val="0"/>
        <w:spacing w:before="567" w:line="240" w:lineRule="auto"/>
        <w:ind w:left="0" w:leftChars="0" w:firstLine="0" w:firstLineChars="0"/>
        <w:jc w:val="center"/>
        <w:textAlignment w:val="auto"/>
        <w:outlineLvl w:val="0"/>
        <w:rPr>
          <w:rFonts w:hint="default" w:ascii="黑体" w:hAnsi="黑体" w:eastAsia="黑体" w:cs="黑体"/>
          <w:sz w:val="21"/>
          <w:szCs w:val="21"/>
          <w:lang w:val="en-US" w:eastAsia="zh-CN"/>
        </w:rPr>
      </w:pPr>
      <w:bookmarkStart w:id="108" w:name="_Toc16663"/>
      <w:bookmarkStart w:id="109" w:name="_Toc11520"/>
      <w:r>
        <w:rPr>
          <w:rFonts w:hint="eastAsia" w:ascii="黑体" w:hAnsi="黑体" w:eastAsia="黑体" w:cs="黑体"/>
          <w:sz w:val="21"/>
          <w:szCs w:val="21"/>
          <w:lang w:val="en-US" w:eastAsia="zh-CN"/>
        </w:rPr>
        <w:t xml:space="preserve">附  录  </w:t>
      </w:r>
      <w:bookmarkEnd w:id="108"/>
      <w:r>
        <w:rPr>
          <w:rFonts w:hint="eastAsia" w:ascii="黑体" w:hAnsi="黑体" w:eastAsia="黑体" w:cs="黑体"/>
          <w:sz w:val="21"/>
          <w:szCs w:val="21"/>
          <w:lang w:val="en-US" w:eastAsia="zh-CN"/>
        </w:rPr>
        <w:t>C</w:t>
      </w:r>
    </w:p>
    <w:p>
      <w:pPr>
        <w:pStyle w:val="83"/>
        <w:keepNext w:val="0"/>
        <w:keepLines w:val="0"/>
        <w:pageBreakBefore w:val="0"/>
        <w:widowControl/>
        <w:numPr>
          <w:ilvl w:val="0"/>
          <w:numId w:val="0"/>
        </w:numPr>
        <w:shd w:val="clear" w:color="FFFFFF" w:fill="FFFFFF"/>
        <w:kinsoku/>
        <w:wordWrap/>
        <w:overflowPunct/>
        <w:topLinePunct w:val="0"/>
        <w:autoSpaceDE/>
        <w:autoSpaceDN/>
        <w:bidi w:val="0"/>
        <w:adjustRightInd/>
        <w:snapToGrid/>
        <w:spacing w:before="0" w:afterLines="0"/>
        <w:ind w:leftChars="0"/>
        <w:jc w:val="center"/>
        <w:textAlignment w:val="auto"/>
        <w:rPr>
          <w:rFonts w:hint="eastAsia"/>
        </w:rPr>
      </w:pPr>
      <w:r>
        <w:rPr>
          <w:rFonts w:hint="eastAsia"/>
        </w:rPr>
        <w:t>（资料性）</w:t>
      </w:r>
    </w:p>
    <w:p>
      <w:pPr>
        <w:pStyle w:val="83"/>
        <w:keepNext w:val="0"/>
        <w:keepLines w:val="0"/>
        <w:pageBreakBefore w:val="0"/>
        <w:widowControl/>
        <w:numPr>
          <w:ilvl w:val="0"/>
          <w:numId w:val="0"/>
        </w:numPr>
        <w:shd w:val="clear" w:color="FFFFFF" w:fill="FFFFFF"/>
        <w:kinsoku/>
        <w:wordWrap/>
        <w:overflowPunct/>
        <w:topLinePunct w:val="0"/>
        <w:autoSpaceDE/>
        <w:autoSpaceDN/>
        <w:bidi w:val="0"/>
        <w:adjustRightInd/>
        <w:snapToGrid/>
        <w:spacing w:before="0" w:after="284" w:afterLines="0"/>
        <w:ind w:leftChars="0"/>
        <w:jc w:val="center"/>
        <w:textAlignment w:val="auto"/>
      </w:pPr>
      <w:r>
        <w:rPr>
          <w:rFonts w:hint="eastAsia"/>
        </w:rPr>
        <w:t>数据质量评价报告</w:t>
      </w:r>
      <w:bookmarkEnd w:id="109"/>
    </w:p>
    <w:p>
      <w:pPr>
        <w:pStyle w:val="84"/>
        <w:numPr>
          <w:ilvl w:val="1"/>
          <w:numId w:val="0"/>
        </w:numPr>
        <w:bidi w:val="0"/>
        <w:ind w:leftChars="0"/>
        <w:jc w:val="both"/>
        <w:rPr>
          <w:rFonts w:hint="eastAsia" w:hAnsi="Times New Roman" w:cs="Times New Roman"/>
        </w:rPr>
      </w:pPr>
      <w:bookmarkStart w:id="110" w:name="_Toc13585"/>
      <w:r>
        <w:rPr>
          <w:rFonts w:hint="eastAsia" w:hAnsi="Times New Roman" w:cs="Times New Roman"/>
          <w:lang w:val="en-US" w:eastAsia="zh-CN"/>
        </w:rPr>
        <w:t>C</w:t>
      </w:r>
      <w:r>
        <w:rPr>
          <w:rFonts w:hint="eastAsia" w:hAnsi="Times New Roman" w:cs="Times New Roman"/>
        </w:rPr>
        <w:t>.1　</w:t>
      </w:r>
      <w:bookmarkEnd w:id="110"/>
      <w:r>
        <w:rPr>
          <w:rFonts w:hint="eastAsia" w:hAnsi="Times New Roman" w:cs="Times New Roman"/>
        </w:rPr>
        <w:t>数据质量评价报告的主要内容</w:t>
      </w:r>
    </w:p>
    <w:p>
      <w:pPr>
        <w:pStyle w:val="63"/>
        <w:ind w:firstLine="420"/>
        <w:rPr>
          <w:rFonts w:hint="eastAsia" w:ascii="宋体" w:hAnsi="Times New Roman" w:eastAsia="宋体" w:cs="Times New Roman"/>
        </w:rPr>
      </w:pPr>
      <w:r>
        <w:rPr>
          <w:rFonts w:hint="eastAsia" w:ascii="宋体" w:hAnsi="Times New Roman" w:eastAsia="宋体" w:cs="Times New Roman"/>
        </w:rPr>
        <w:t>表</w:t>
      </w:r>
      <w:r>
        <w:rPr>
          <w:rFonts w:hint="eastAsia" w:ascii="宋体" w:hAnsi="Times New Roman" w:eastAsia="宋体" w:cs="Times New Roman"/>
          <w:lang w:val="en-US" w:eastAsia="zh-CN"/>
        </w:rPr>
        <w:t>C</w:t>
      </w:r>
      <w:r>
        <w:rPr>
          <w:rFonts w:hint="eastAsia" w:ascii="宋体" w:hAnsi="Times New Roman" w:eastAsia="宋体" w:cs="Times New Roman"/>
        </w:rPr>
        <w:t>.1给出了数据质量评价报告的主要内容。</w:t>
      </w:r>
    </w:p>
    <w:p>
      <w:pPr>
        <w:pStyle w:val="84"/>
        <w:numPr>
          <w:ilvl w:val="1"/>
          <w:numId w:val="0"/>
        </w:numPr>
        <w:bidi w:val="0"/>
        <w:ind w:leftChars="0"/>
        <w:jc w:val="center"/>
        <w:rPr>
          <w:rFonts w:hint="eastAsia"/>
        </w:rPr>
      </w:pPr>
      <w:r>
        <w:rPr>
          <w:rFonts w:hint="eastAsia"/>
          <w:lang w:val="en-US" w:eastAsia="zh-CN"/>
        </w:rPr>
        <w:t xml:space="preserve">表C.1  </w:t>
      </w:r>
      <w:r>
        <w:rPr>
          <w:rFonts w:hint="eastAsia"/>
        </w:rPr>
        <w:t>数据质量评价报告的主要内容</w:t>
      </w:r>
    </w:p>
    <w:tbl>
      <w:tblPr>
        <w:tblStyle w:val="32"/>
        <w:tblW w:w="0" w:type="auto"/>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126"/>
        <w:gridCol w:w="1417"/>
        <w:gridCol w:w="4531"/>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988" w:type="dxa"/>
          </w:tcPr>
          <w:p>
            <w:pPr>
              <w:pStyle w:val="63"/>
              <w:ind w:firstLine="0" w:firstLineChars="0"/>
              <w:rPr>
                <w:rFonts w:hint="eastAsia"/>
                <w:b/>
              </w:rPr>
            </w:pPr>
            <w:r>
              <w:rPr>
                <w:rFonts w:hint="eastAsia"/>
                <w:b/>
              </w:rPr>
              <w:t>序号</w:t>
            </w:r>
          </w:p>
        </w:tc>
        <w:tc>
          <w:tcPr>
            <w:tcW w:w="2126" w:type="dxa"/>
          </w:tcPr>
          <w:p>
            <w:pPr>
              <w:pStyle w:val="63"/>
              <w:ind w:firstLine="0" w:firstLineChars="0"/>
              <w:rPr>
                <w:rFonts w:hint="eastAsia"/>
                <w:b/>
              </w:rPr>
            </w:pPr>
            <w:r>
              <w:rPr>
                <w:rFonts w:hint="eastAsia"/>
                <w:b/>
              </w:rPr>
              <w:t>章节</w:t>
            </w:r>
          </w:p>
        </w:tc>
        <w:tc>
          <w:tcPr>
            <w:tcW w:w="1417" w:type="dxa"/>
          </w:tcPr>
          <w:p>
            <w:pPr>
              <w:pStyle w:val="63"/>
              <w:ind w:firstLine="0" w:firstLineChars="0"/>
              <w:rPr>
                <w:rFonts w:hint="eastAsia"/>
                <w:b/>
              </w:rPr>
            </w:pPr>
            <w:r>
              <w:rPr>
                <w:rFonts w:hint="eastAsia"/>
                <w:b/>
              </w:rPr>
              <w:t>是否必选</w:t>
            </w:r>
          </w:p>
        </w:tc>
        <w:tc>
          <w:tcPr>
            <w:tcW w:w="4531" w:type="dxa"/>
          </w:tcPr>
          <w:p>
            <w:pPr>
              <w:pStyle w:val="63"/>
              <w:ind w:firstLine="0" w:firstLineChars="0"/>
              <w:rPr>
                <w:rFonts w:hint="eastAsia"/>
                <w:b/>
              </w:rPr>
            </w:pPr>
            <w:r>
              <w:rPr>
                <w:rFonts w:hint="eastAsia"/>
                <w:b/>
              </w:rPr>
              <w:t>描述</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88" w:type="dxa"/>
          </w:tcPr>
          <w:p>
            <w:pPr>
              <w:pStyle w:val="2"/>
              <w:jc w:val="center"/>
              <w:rPr>
                <w:rFonts w:ascii="宋体" w:hAnsi="宋体"/>
              </w:rPr>
            </w:pPr>
            <w:r>
              <w:rPr>
                <w:rFonts w:hint="eastAsia" w:ascii="宋体" w:hAnsi="宋体"/>
              </w:rPr>
              <w:t>1</w:t>
            </w:r>
          </w:p>
        </w:tc>
        <w:tc>
          <w:tcPr>
            <w:tcW w:w="2126" w:type="dxa"/>
          </w:tcPr>
          <w:p>
            <w:pPr>
              <w:pStyle w:val="2"/>
            </w:pPr>
            <w:r>
              <w:rPr>
                <w:rFonts w:hint="eastAsia"/>
              </w:rPr>
              <w:t>报告范围</w:t>
            </w:r>
          </w:p>
        </w:tc>
        <w:tc>
          <w:tcPr>
            <w:tcW w:w="1417" w:type="dxa"/>
          </w:tcPr>
          <w:p>
            <w:pPr>
              <w:pStyle w:val="2"/>
            </w:pPr>
            <w:r>
              <w:rPr>
                <w:rFonts w:hint="eastAsia"/>
              </w:rPr>
              <w:t>必选</w:t>
            </w:r>
          </w:p>
        </w:tc>
        <w:tc>
          <w:tcPr>
            <w:tcW w:w="4531" w:type="dxa"/>
          </w:tcPr>
          <w:p>
            <w:pPr>
              <w:pStyle w:val="2"/>
            </w:pPr>
            <w:r>
              <w:rPr>
                <w:rFonts w:hint="eastAsia"/>
              </w:rPr>
              <w:t>报告所监测数据集的范围说明，包括数据集名称、数据量、元数据等内容。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988" w:type="dxa"/>
          </w:tcPr>
          <w:p>
            <w:pPr>
              <w:pStyle w:val="2"/>
              <w:jc w:val="center"/>
              <w:rPr>
                <w:rFonts w:ascii="宋体" w:hAnsi="宋体"/>
              </w:rPr>
            </w:pPr>
            <w:r>
              <w:rPr>
                <w:rFonts w:hint="eastAsia" w:ascii="宋体" w:hAnsi="宋体"/>
              </w:rPr>
              <w:t>2</w:t>
            </w:r>
          </w:p>
        </w:tc>
        <w:tc>
          <w:tcPr>
            <w:tcW w:w="2126" w:type="dxa"/>
          </w:tcPr>
          <w:p>
            <w:pPr>
              <w:pStyle w:val="2"/>
            </w:pPr>
            <w:r>
              <w:rPr>
                <w:rFonts w:hint="eastAsia"/>
              </w:rPr>
              <w:t>评价结果</w:t>
            </w:r>
          </w:p>
        </w:tc>
        <w:tc>
          <w:tcPr>
            <w:tcW w:w="1417" w:type="dxa"/>
          </w:tcPr>
          <w:p>
            <w:pPr>
              <w:pStyle w:val="2"/>
            </w:pPr>
            <w:r>
              <w:rPr>
                <w:rFonts w:hint="eastAsia"/>
              </w:rPr>
              <w:t>必选</w:t>
            </w:r>
          </w:p>
        </w:tc>
        <w:tc>
          <w:tcPr>
            <w:tcW w:w="4531" w:type="dxa"/>
          </w:tcPr>
          <w:p>
            <w:pPr>
              <w:pStyle w:val="2"/>
            </w:pPr>
            <w:r>
              <w:rPr>
                <w:rFonts w:hint="eastAsia"/>
              </w:rPr>
              <w:t>数据质量监测结果的数字化、量化结果描述，包括总评分、二级指标评分、问题数据在各个指标的分布情况、问题数据在各个数据责任机构的分布情况等内容。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988" w:type="dxa"/>
          </w:tcPr>
          <w:p>
            <w:pPr>
              <w:pStyle w:val="2"/>
              <w:jc w:val="center"/>
              <w:rPr>
                <w:rFonts w:ascii="宋体" w:hAnsi="宋体"/>
              </w:rPr>
            </w:pPr>
            <w:r>
              <w:rPr>
                <w:rFonts w:hint="eastAsia" w:ascii="宋体" w:hAnsi="宋体"/>
              </w:rPr>
              <w:t>3</w:t>
            </w:r>
          </w:p>
        </w:tc>
        <w:tc>
          <w:tcPr>
            <w:tcW w:w="2126" w:type="dxa"/>
          </w:tcPr>
          <w:p>
            <w:pPr>
              <w:pStyle w:val="2"/>
            </w:pPr>
            <w:r>
              <w:rPr>
                <w:rFonts w:hint="eastAsia"/>
              </w:rPr>
              <w:t>数据质量规则清单</w:t>
            </w:r>
          </w:p>
        </w:tc>
        <w:tc>
          <w:tcPr>
            <w:tcW w:w="1417" w:type="dxa"/>
          </w:tcPr>
          <w:p>
            <w:pPr>
              <w:pStyle w:val="2"/>
            </w:pPr>
            <w:r>
              <w:rPr>
                <w:rFonts w:hint="eastAsia"/>
              </w:rPr>
              <w:t>必选</w:t>
            </w:r>
          </w:p>
        </w:tc>
        <w:tc>
          <w:tcPr>
            <w:tcW w:w="4531" w:type="dxa"/>
          </w:tcPr>
          <w:p>
            <w:pPr>
              <w:pStyle w:val="2"/>
            </w:pPr>
            <w:r>
              <w:rPr>
                <w:rFonts w:hint="eastAsia"/>
              </w:rPr>
              <w:t>数据质量监测所使用的数据质量规则清单。</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988" w:type="dxa"/>
          </w:tcPr>
          <w:p>
            <w:pPr>
              <w:pStyle w:val="2"/>
              <w:jc w:val="center"/>
              <w:rPr>
                <w:rFonts w:ascii="宋体" w:hAnsi="宋体"/>
              </w:rPr>
            </w:pPr>
            <w:r>
              <w:rPr>
                <w:rFonts w:hint="eastAsia" w:ascii="宋体" w:hAnsi="宋体"/>
              </w:rPr>
              <w:t>4</w:t>
            </w:r>
          </w:p>
        </w:tc>
        <w:tc>
          <w:tcPr>
            <w:tcW w:w="2126" w:type="dxa"/>
          </w:tcPr>
          <w:p>
            <w:pPr>
              <w:pStyle w:val="2"/>
            </w:pPr>
            <w:r>
              <w:rPr>
                <w:rFonts w:hint="eastAsia"/>
              </w:rPr>
              <w:t>问题案例清单</w:t>
            </w:r>
          </w:p>
        </w:tc>
        <w:tc>
          <w:tcPr>
            <w:tcW w:w="1417" w:type="dxa"/>
          </w:tcPr>
          <w:p>
            <w:pPr>
              <w:pStyle w:val="2"/>
            </w:pPr>
            <w:r>
              <w:rPr>
                <w:rFonts w:hint="eastAsia"/>
              </w:rPr>
              <w:t>必选</w:t>
            </w:r>
          </w:p>
        </w:tc>
        <w:tc>
          <w:tcPr>
            <w:tcW w:w="4531" w:type="dxa"/>
          </w:tcPr>
          <w:p>
            <w:pPr>
              <w:pStyle w:val="2"/>
            </w:pPr>
            <w:r>
              <w:rPr>
                <w:rFonts w:hint="eastAsia"/>
              </w:rPr>
              <w:t>数据质量监测的问题清单，包括数据标识、质量规则、问题描述、错误原因、严重程度、修复建议等内容。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988" w:type="dxa"/>
          </w:tcPr>
          <w:p>
            <w:pPr>
              <w:pStyle w:val="2"/>
              <w:jc w:val="center"/>
              <w:rPr>
                <w:rFonts w:ascii="宋体" w:hAnsi="宋体"/>
              </w:rPr>
            </w:pPr>
            <w:r>
              <w:rPr>
                <w:rFonts w:hint="eastAsia" w:ascii="宋体" w:hAnsi="宋体"/>
              </w:rPr>
              <w:t>5</w:t>
            </w:r>
          </w:p>
        </w:tc>
        <w:tc>
          <w:tcPr>
            <w:tcW w:w="2126" w:type="dxa"/>
          </w:tcPr>
          <w:p>
            <w:pPr>
              <w:pStyle w:val="2"/>
            </w:pPr>
            <w:r>
              <w:rPr>
                <w:rFonts w:hint="eastAsia"/>
              </w:rPr>
              <w:t>监测依据</w:t>
            </w:r>
          </w:p>
        </w:tc>
        <w:tc>
          <w:tcPr>
            <w:tcW w:w="1417" w:type="dxa"/>
          </w:tcPr>
          <w:p>
            <w:pPr>
              <w:pStyle w:val="2"/>
            </w:pPr>
            <w:r>
              <w:rPr>
                <w:rFonts w:hint="eastAsia"/>
              </w:rPr>
              <w:t>必选</w:t>
            </w:r>
          </w:p>
        </w:tc>
        <w:tc>
          <w:tcPr>
            <w:tcW w:w="4531" w:type="dxa"/>
          </w:tcPr>
          <w:p>
            <w:pPr>
              <w:pStyle w:val="2"/>
            </w:pPr>
            <w:r>
              <w:rPr>
                <w:rFonts w:hint="eastAsia"/>
              </w:rPr>
              <w:t>数据质量监测的依据，包括国家标准、行业标准、地方标准、团体标准、业务规范等内容。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988" w:type="dxa"/>
          </w:tcPr>
          <w:p>
            <w:pPr>
              <w:pStyle w:val="2"/>
              <w:jc w:val="center"/>
              <w:rPr>
                <w:rFonts w:ascii="宋体" w:hAnsi="宋体"/>
              </w:rPr>
            </w:pPr>
            <w:r>
              <w:rPr>
                <w:rFonts w:hint="eastAsia" w:ascii="宋体" w:hAnsi="宋体"/>
              </w:rPr>
              <w:t>6</w:t>
            </w:r>
          </w:p>
        </w:tc>
        <w:tc>
          <w:tcPr>
            <w:tcW w:w="2126" w:type="dxa"/>
          </w:tcPr>
          <w:p>
            <w:pPr>
              <w:pStyle w:val="2"/>
            </w:pPr>
            <w:r>
              <w:rPr>
                <w:rFonts w:hint="eastAsia"/>
              </w:rPr>
              <w:t>问题分类</w:t>
            </w:r>
          </w:p>
        </w:tc>
        <w:tc>
          <w:tcPr>
            <w:tcW w:w="1417" w:type="dxa"/>
          </w:tcPr>
          <w:p>
            <w:pPr>
              <w:pStyle w:val="2"/>
            </w:pPr>
            <w:r>
              <w:rPr>
                <w:rFonts w:hint="eastAsia"/>
              </w:rPr>
              <w:t>可选</w:t>
            </w:r>
          </w:p>
        </w:tc>
        <w:tc>
          <w:tcPr>
            <w:tcW w:w="4531" w:type="dxa"/>
          </w:tcPr>
          <w:p>
            <w:pPr>
              <w:pStyle w:val="2"/>
            </w:pPr>
            <w:r>
              <w:rPr>
                <w:rFonts w:hint="eastAsia"/>
              </w:rPr>
              <w:t>根据原因分析，针对所产生的问题从信息、流程、技术、人员等维度的分类。</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988" w:type="dxa"/>
          </w:tcPr>
          <w:p>
            <w:pPr>
              <w:pStyle w:val="2"/>
              <w:jc w:val="center"/>
              <w:rPr>
                <w:rFonts w:ascii="宋体" w:hAnsi="宋体"/>
              </w:rPr>
            </w:pPr>
            <w:r>
              <w:rPr>
                <w:rFonts w:hint="eastAsia" w:ascii="宋体" w:hAnsi="宋体"/>
              </w:rPr>
              <w:t>7</w:t>
            </w:r>
          </w:p>
        </w:tc>
        <w:tc>
          <w:tcPr>
            <w:tcW w:w="2126" w:type="dxa"/>
          </w:tcPr>
          <w:p>
            <w:pPr>
              <w:pStyle w:val="2"/>
            </w:pPr>
            <w:r>
              <w:rPr>
                <w:rFonts w:hint="eastAsia"/>
              </w:rPr>
              <w:t>其他</w:t>
            </w:r>
          </w:p>
        </w:tc>
        <w:tc>
          <w:tcPr>
            <w:tcW w:w="1417" w:type="dxa"/>
          </w:tcPr>
          <w:p>
            <w:pPr>
              <w:pStyle w:val="2"/>
            </w:pPr>
            <w:r>
              <w:rPr>
                <w:rFonts w:hint="eastAsia"/>
              </w:rPr>
              <w:t>可选</w:t>
            </w:r>
          </w:p>
        </w:tc>
        <w:tc>
          <w:tcPr>
            <w:tcW w:w="4531" w:type="dxa"/>
          </w:tcPr>
          <w:p>
            <w:pPr>
              <w:pStyle w:val="2"/>
            </w:pPr>
            <w:r>
              <w:rPr>
                <w:rFonts w:hint="eastAsia"/>
              </w:rPr>
              <w:t>可根据实际情况补充其他章节的内容。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988" w:type="dxa"/>
          </w:tcPr>
          <w:p>
            <w:pPr>
              <w:pStyle w:val="2"/>
              <w:jc w:val="center"/>
              <w:rPr>
                <w:rFonts w:ascii="宋体" w:hAnsi="宋体"/>
              </w:rPr>
            </w:pPr>
            <w:r>
              <w:rPr>
                <w:rFonts w:hint="eastAsia" w:ascii="宋体" w:hAnsi="宋体"/>
              </w:rPr>
              <w:t>8</w:t>
            </w:r>
          </w:p>
        </w:tc>
        <w:tc>
          <w:tcPr>
            <w:tcW w:w="2126" w:type="dxa"/>
          </w:tcPr>
          <w:p>
            <w:pPr>
              <w:pStyle w:val="2"/>
            </w:pPr>
            <w:r>
              <w:rPr>
                <w:rFonts w:hint="eastAsia"/>
              </w:rPr>
              <w:t>数据质量评价方法</w:t>
            </w:r>
          </w:p>
        </w:tc>
        <w:tc>
          <w:tcPr>
            <w:tcW w:w="1417" w:type="dxa"/>
          </w:tcPr>
          <w:p>
            <w:pPr>
              <w:pStyle w:val="2"/>
            </w:pPr>
            <w:r>
              <w:rPr>
                <w:rFonts w:hint="eastAsia"/>
              </w:rPr>
              <w:t>可选</w:t>
            </w:r>
          </w:p>
        </w:tc>
        <w:tc>
          <w:tcPr>
            <w:tcW w:w="4531" w:type="dxa"/>
          </w:tcPr>
          <w:p>
            <w:pPr>
              <w:pStyle w:val="2"/>
            </w:pPr>
            <w:r>
              <w:rPr>
                <w:rFonts w:hint="eastAsia"/>
              </w:rPr>
              <w:t>数据质量评价方法见附录</w:t>
            </w:r>
            <w:r>
              <w:rPr>
                <w:rFonts w:hint="eastAsia"/>
                <w:lang w:val="en-US" w:eastAsia="zh-CN"/>
              </w:rPr>
              <w:t>C</w:t>
            </w:r>
            <w:r>
              <w:rPr>
                <w:rFonts w:hint="eastAsia"/>
              </w:rPr>
              <w:t>.</w:t>
            </w:r>
            <w:r>
              <w:t>2</w:t>
            </w:r>
            <w:r>
              <w:rPr>
                <w:rFonts w:hint="eastAsia"/>
              </w:rPr>
              <w:t>。</w:t>
            </w:r>
          </w:p>
        </w:tc>
      </w:tr>
    </w:tbl>
    <w:p>
      <w:pPr>
        <w:pStyle w:val="2"/>
      </w:pPr>
    </w:p>
    <w:p>
      <w:pPr>
        <w:pStyle w:val="63"/>
        <w:keepNext w:val="0"/>
        <w:keepLines w:val="0"/>
        <w:pageBreakBefore w:val="0"/>
        <w:widowControl/>
        <w:kinsoku/>
        <w:wordWrap/>
        <w:overflowPunct/>
        <w:topLinePunct w:val="0"/>
        <w:autoSpaceDE w:val="0"/>
        <w:autoSpaceDN w:val="0"/>
        <w:bidi w:val="0"/>
        <w:adjustRightInd/>
        <w:snapToGrid/>
        <w:spacing w:before="160" w:beforeLines="50" w:after="160" w:afterLines="50"/>
        <w:ind w:firstLine="0" w:firstLineChars="0"/>
        <w:textAlignment w:val="auto"/>
        <w:rPr>
          <w:rFonts w:ascii="黑体" w:hAnsi="黑体" w:eastAsia="黑体"/>
        </w:rPr>
      </w:pPr>
      <w:r>
        <w:rPr>
          <w:rFonts w:hint="eastAsia" w:ascii="黑体" w:hAnsi="黑体" w:eastAsia="黑体"/>
          <w:lang w:val="en-US" w:eastAsia="zh-CN"/>
        </w:rPr>
        <w:t>C</w:t>
      </w:r>
      <w:r>
        <w:rPr>
          <w:rFonts w:hint="eastAsia" w:ascii="黑体" w:hAnsi="黑体" w:eastAsia="黑体"/>
        </w:rPr>
        <w:t>.</w:t>
      </w:r>
      <w:r>
        <w:rPr>
          <w:rFonts w:ascii="黑体" w:hAnsi="黑体" w:eastAsia="黑体"/>
        </w:rPr>
        <w:t>2</w:t>
      </w:r>
      <w:r>
        <w:rPr>
          <w:rFonts w:hint="eastAsia" w:ascii="黑体" w:hAnsi="黑体" w:eastAsia="黑体"/>
        </w:rPr>
        <w:t>　数据质量监测量化评价方法</w:t>
      </w:r>
    </w:p>
    <w:p>
      <w:pPr>
        <w:pStyle w:val="63"/>
        <w:ind w:firstLine="420"/>
      </w:pPr>
      <w:r>
        <w:rPr>
          <w:rFonts w:hint="eastAsia"/>
        </w:rPr>
        <w:t>数据质量监测评价方法采用加权平均法计算最终结果。</w:t>
      </w:r>
    </w:p>
    <w:p>
      <w:pPr>
        <w:pStyle w:val="281"/>
        <w:keepNext w:val="0"/>
        <w:keepLines w:val="0"/>
        <w:pageBreakBefore w:val="0"/>
        <w:widowControl/>
        <w:numPr>
          <w:ilvl w:val="0"/>
          <w:numId w:val="39"/>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根据二级指标下各质量规则的影响程度权重、评测数据量和问题数，计算各项二级指标得分；</w:t>
      </w:r>
    </w:p>
    <w:p>
      <w:pPr>
        <w:pStyle w:val="281"/>
        <w:keepNext w:val="0"/>
        <w:keepLines w:val="0"/>
        <w:pageBreakBefore w:val="0"/>
        <w:widowControl/>
        <w:numPr>
          <w:ilvl w:val="0"/>
          <w:numId w:val="39"/>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根据各项二级指标得分和权重，计算一级指标得分；</w:t>
      </w:r>
    </w:p>
    <w:p>
      <w:pPr>
        <w:pStyle w:val="281"/>
        <w:keepNext w:val="0"/>
        <w:keepLines w:val="0"/>
        <w:pageBreakBefore w:val="0"/>
        <w:widowControl/>
        <w:numPr>
          <w:ilvl w:val="0"/>
          <w:numId w:val="39"/>
        </w:numPr>
        <w:kinsoku/>
        <w:wordWrap/>
        <w:overflowPunct/>
        <w:topLinePunct w:val="0"/>
        <w:autoSpaceDE/>
        <w:autoSpaceDN/>
        <w:bidi w:val="0"/>
        <w:adjustRightInd/>
        <w:snapToGrid/>
        <w:ind w:left="900" w:leftChars="200" w:hanging="420" w:hangingChars="200"/>
        <w:textAlignment w:val="auto"/>
        <w:rPr>
          <w:rFonts w:hint="eastAsia"/>
          <w:lang w:val="en-US" w:eastAsia="zh-CN"/>
        </w:rPr>
      </w:pPr>
      <w:r>
        <w:rPr>
          <w:rFonts w:hint="eastAsia"/>
          <w:lang w:val="en-US" w:eastAsia="zh-CN"/>
        </w:rPr>
        <w:t>根据各项一级指标得分和权重，计算数据质量监测最终得分。</w:t>
      </w:r>
    </w:p>
    <w:p>
      <w:pPr>
        <w:pStyle w:val="63"/>
        <w:ind w:firstLine="0" w:firstLineChars="0"/>
        <w:sectPr>
          <w:pgSz w:w="11906" w:h="16838"/>
          <w:pgMar w:top="1417" w:right="1134" w:bottom="1134" w:left="1417" w:header="1417" w:footer="1134" w:gutter="283"/>
          <w:cols w:space="0" w:num="1"/>
          <w:formProt w:val="0"/>
          <w:docGrid w:type="lines" w:linePitch="317" w:charSpace="0"/>
        </w:sectPr>
      </w:pPr>
    </w:p>
    <w:p>
      <w:pPr>
        <w:pStyle w:val="70"/>
        <w:widowControl/>
        <w:shd w:val="clear" w:color="FFFFFF" w:fill="FFFFFF"/>
        <w:spacing w:before="567" w:after="283" w:afterLines="0"/>
        <w:rPr>
          <w:rFonts w:hint="eastAsia" w:hAnsiTheme="minorHAnsi" w:cstheme="minorBidi"/>
          <w:spacing w:val="105"/>
          <w:kern w:val="0"/>
          <w:szCs w:val="22"/>
          <w:lang w:val="en-US" w:eastAsia="zh-CN"/>
        </w:rPr>
      </w:pPr>
      <w:bookmarkStart w:id="111" w:name="_Toc120179958"/>
      <w:bookmarkStart w:id="112" w:name="_Toc8436"/>
      <w:bookmarkStart w:id="113" w:name="_Toc181957974"/>
      <w:bookmarkStart w:id="114" w:name="_Toc9565"/>
      <w:bookmarkStart w:id="115" w:name="_Toc24229"/>
      <w:bookmarkStart w:id="116" w:name="BookMark8"/>
      <w:r>
        <w:rPr>
          <w:rFonts w:hint="eastAsia" w:hAnsiTheme="minorHAnsi" w:cstheme="minorBidi"/>
          <w:spacing w:val="105"/>
          <w:kern w:val="0"/>
          <w:szCs w:val="22"/>
          <w:lang w:val="en-US" w:eastAsia="zh-CN"/>
        </w:rPr>
        <w:t>参考文献</w:t>
      </w:r>
      <w:bookmarkEnd w:id="111"/>
      <w:bookmarkEnd w:id="112"/>
      <w:bookmarkEnd w:id="113"/>
      <w:bookmarkEnd w:id="114"/>
      <w:bookmarkEnd w:id="115"/>
    </w:p>
    <w:p>
      <w:pPr>
        <w:pStyle w:val="63"/>
        <w:ind w:firstLine="420"/>
      </w:pPr>
      <w:r>
        <w:rPr>
          <w:rFonts w:hint="eastAsia"/>
        </w:rPr>
        <w:t xml:space="preserve">[1]  GB/T 35295 </w:t>
      </w:r>
      <w:r>
        <w:rPr>
          <w:rFonts w:hint="eastAsia"/>
          <w:lang w:val="en-US" w:eastAsia="zh-CN"/>
        </w:rPr>
        <w:t xml:space="preserve"> </w:t>
      </w:r>
      <w:r>
        <w:rPr>
          <w:rFonts w:hint="eastAsia"/>
        </w:rPr>
        <w:t>信息技术 大数据 术语</w:t>
      </w:r>
    </w:p>
    <w:p>
      <w:pPr>
        <w:pStyle w:val="63"/>
        <w:ind w:firstLine="420"/>
      </w:pPr>
      <w:r>
        <w:rPr>
          <w:rFonts w:hint="eastAsia"/>
        </w:rPr>
        <w:t xml:space="preserve">[2]  GB/T 36073 </w:t>
      </w:r>
      <w:r>
        <w:rPr>
          <w:rFonts w:hint="eastAsia"/>
          <w:lang w:val="en-US" w:eastAsia="zh-CN"/>
        </w:rPr>
        <w:t xml:space="preserve"> </w:t>
      </w:r>
      <w:r>
        <w:rPr>
          <w:rFonts w:hint="eastAsia"/>
        </w:rPr>
        <w:t>数据管理能力成熟度评估模型</w:t>
      </w:r>
    </w:p>
    <w:p>
      <w:pPr>
        <w:pStyle w:val="63"/>
        <w:ind w:firstLine="420"/>
      </w:pPr>
      <w:r>
        <w:rPr>
          <w:rFonts w:hint="eastAsia"/>
        </w:rPr>
        <w:t>[3]  《江苏省公共数据管理办法》（省政府令第148号）</w:t>
      </w:r>
    </w:p>
    <w:p>
      <w:pPr>
        <w:pStyle w:val="63"/>
        <w:ind w:firstLine="420"/>
      </w:pPr>
      <w:r>
        <w:rPr>
          <w:rFonts w:hint="eastAsia"/>
        </w:rPr>
        <w:t>[4]  《市场监管信息化标准体系》（国市监办发〔2021〕3号）</w:t>
      </w:r>
    </w:p>
    <w:p>
      <w:pPr>
        <w:pStyle w:val="63"/>
        <w:ind w:firstLine="420"/>
      </w:pPr>
      <w:r>
        <w:rPr>
          <w:rFonts w:hint="eastAsia"/>
        </w:rPr>
        <w:t>[5]  《关于开展市场主体数据质量提升行动的通知》（市监注发〔2021〕19号）</w:t>
      </w:r>
    </w:p>
    <w:p>
      <w:pPr>
        <w:pStyle w:val="63"/>
        <w:ind w:firstLine="420"/>
        <w:rPr>
          <w:rFonts w:hint="eastAsia"/>
        </w:rPr>
      </w:pPr>
      <w:r>
        <w:rPr>
          <w:rFonts w:hint="eastAsia"/>
        </w:rPr>
        <w:t>[6]  《关于开展企业信用监管数据质量全面提升行动的通知》（国市监信发〔2023〕25号）</w:t>
      </w:r>
    </w:p>
    <w:p>
      <w:pPr>
        <w:pStyle w:val="63"/>
        <w:ind w:firstLine="420"/>
        <w:rPr>
          <w:rFonts w:hint="eastAsia"/>
        </w:rPr>
      </w:pPr>
    </w:p>
    <w:bookmarkEnd w:id="116"/>
    <w:p>
      <w:pPr>
        <w:jc w:val="center"/>
      </w:pPr>
      <w:r>
        <w:rPr>
          <w:rFonts w:ascii="黑体" w:hAnsi="黑体" w:eastAsia="黑体"/>
        </w:rPr>
        <mc:AlternateContent>
          <mc:Choice Requires="wps">
            <w:drawing>
              <wp:anchor distT="0" distB="0" distL="114300" distR="114300" simplePos="0" relativeHeight="251665408" behindDoc="0" locked="0" layoutInCell="1" allowOverlap="1">
                <wp:simplePos x="0" y="0"/>
                <wp:positionH relativeFrom="column">
                  <wp:posOffset>1933575</wp:posOffset>
                </wp:positionH>
                <wp:positionV relativeFrom="paragraph">
                  <wp:posOffset>64135</wp:posOffset>
                </wp:positionV>
                <wp:extent cx="1800225" cy="0"/>
                <wp:effectExtent l="0" t="4445" r="0" b="5080"/>
                <wp:wrapNone/>
                <wp:docPr id="25" name="直接箭头连接符 5"/>
                <wp:cNvGraphicFramePr/>
                <a:graphic xmlns:a="http://schemas.openxmlformats.org/drawingml/2006/main">
                  <a:graphicData uri="http://schemas.microsoft.com/office/word/2010/wordprocessingShape">
                    <wps:wsp>
                      <wps:cNvCnPr>
                        <a:cxnSpLocks noChangeShapeType="true"/>
                      </wps:cNvCnPr>
                      <wps:spPr bwMode="auto">
                        <a:xfrm>
                          <a:off x="0" y="0"/>
                          <a:ext cx="1800225" cy="0"/>
                        </a:xfrm>
                        <a:prstGeom prst="straightConnector1">
                          <a:avLst/>
                        </a:prstGeom>
                        <a:noFill/>
                        <a:ln w="9525">
                          <a:solidFill>
                            <a:srgbClr val="000000"/>
                          </a:solidFill>
                          <a:round/>
                        </a:ln>
                        <a:effectLst/>
                      </wps:spPr>
                      <wps:bodyPr/>
                    </wps:wsp>
                  </a:graphicData>
                </a:graphic>
              </wp:anchor>
            </w:drawing>
          </mc:Choice>
          <mc:Fallback>
            <w:pict>
              <v:shape id="直接箭头连接符 5" o:spid="_x0000_s1026" o:spt="32" type="#_x0000_t32" style="position:absolute;left:0pt;margin-left:152.25pt;margin-top:5.05pt;height:0pt;width:141.75pt;z-index:251665408;mso-width-relative:page;mso-height-relative:page;" filled="f" stroked="t" coordsize="21600,21600" o:gfxdata="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BYAAABkcnMvUEsBAhQAFAAAAAgA&#10;h07iQKHuVsXWAAAACQEAAA8AAAAAAAAAAQAgAAAAOAAAAGRycy9kb3ducmV2LnhtbFBLAQIUABQA&#10;AAAIAIdO4kB5U+jn3AEAAIIDAAAOAAAAAAAAAAEAIAAAADsBAABkcnMvZTJvRG9jLnhtbFBLBQYA&#10;AAAABgAGAFkBAACJBQAAAAA=&#10;">
                <v:fill on="f" focussize="0,0"/>
                <v:stroke color="#000000" joinstyle="round"/>
                <v:imagedata o:title=""/>
                <o:lock v:ext="edit" aspectratio="f"/>
              </v:shape>
            </w:pict>
          </mc:Fallback>
        </mc:AlternateContent>
      </w:r>
    </w:p>
    <w:p>
      <w:pPr>
        <w:pStyle w:val="206"/>
        <w:numPr>
          <w:ilvl w:val="0"/>
          <w:numId w:val="38"/>
        </w:numPr>
      </w:pPr>
    </w:p>
    <w:bookmarkEnd w:id="98"/>
    <w:p>
      <w:pPr>
        <w:pStyle w:val="206"/>
        <w:numPr>
          <w:ilvl w:val="0"/>
          <w:numId w:val="0"/>
        </w:numPr>
        <w:ind w:left="425"/>
        <w:jc w:val="both"/>
      </w:pPr>
    </w:p>
    <w:sectPr>
      <w:pgSz w:w="11906" w:h="16838"/>
      <w:pgMar w:top="1417" w:right="1134" w:bottom="1134" w:left="1417" w:header="1417" w:footer="1134" w:gutter="283"/>
      <w:cols w:space="0" w:num="1"/>
      <w:formProt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FangSong_GB2312">
    <w:panose1 w:val="02010609030101010101"/>
    <w:charset w:val="86"/>
    <w:family w:val="modern"/>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Cambria">
    <w:altName w:val="FreeSerif"/>
    <w:panose1 w:val="02040503050406030204"/>
    <w:charset w:val="00"/>
    <w:family w:val="roman"/>
    <w:pitch w:val="default"/>
    <w:sig w:usb0="00000000" w:usb1="00000000" w:usb2="02000000" w:usb3="00000000" w:csb0="2000019F" w:csb1="00000000"/>
  </w:font>
  <w:font w:name="方正小标宋_GBK">
    <w:panose1 w:val="02000000000000000000"/>
    <w:charset w:val="86"/>
    <w:family w:val="script"/>
    <w:pitch w:val="default"/>
    <w:sig w:usb0="00000001" w:usb1="08000000" w:usb2="00000000" w:usb3="00000000" w:csb0="00040000" w:csb1="00000000"/>
  </w:font>
  <w:font w:name="Dotum,Bold">
    <w:altName w:val="黑体"/>
    <w:panose1 w:val="020B0604020202020204"/>
    <w:charset w:val="86"/>
    <w:family w:val="auto"/>
    <w:pitch w:val="default"/>
    <w:sig w:usb0="00000000" w:usb1="00000000" w:usb2="00000010" w:usb3="00000000" w:csb0="00040000" w:csb1="00000000"/>
  </w:font>
  <w:font w:name="SimSun,Bold">
    <w:altName w:val="黑体"/>
    <w:panose1 w:val="020B0604020202020204"/>
    <w:charset w:val="86"/>
    <w:family w:val="auto"/>
    <w:pitch w:val="default"/>
    <w:sig w:usb0="00000000" w:usb1="00000000" w:usb2="0000001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 w:name="Liberation Serif">
    <w:panose1 w:val="02020603050405020304"/>
    <w:charset w:val="00"/>
    <w:family w:val="auto"/>
    <w:pitch w:val="default"/>
    <w:sig w:usb0="A00002AF" w:usb1="500078FB" w:usb2="00000000" w:usb3="00000000" w:csb0="6000009F" w:csb1="DFD70000"/>
  </w:font>
  <w:font w:name="方正宋体S-超大字符集(SIP)">
    <w:panose1 w:val="03000509000000000000"/>
    <w:charset w:val="86"/>
    <w:family w:val="auto"/>
    <w:pitch w:val="default"/>
    <w:sig w:usb0="00000003" w:usb1="0A0E0800" w:usb2="00000006" w:usb3="00000000" w:csb0="00040001" w:csb1="00000000"/>
  </w:font>
  <w:font w:name="FreeSerif">
    <w:panose1 w:val="02020603050405020304"/>
    <w:charset w:val="00"/>
    <w:family w:val="auto"/>
    <w:pitch w:val="default"/>
    <w:sig w:usb0="E59FAFFF" w:usb1="C200FDFF" w:usb2="43501B29" w:usb3="04000043" w:csb0="6001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35"/>
      </w:rPr>
      <w:id w:val="-428432215"/>
    </w:sdtPr>
    <w:sdtEndPr>
      <w:rPr>
        <w:rStyle w:val="35"/>
      </w:rPr>
    </w:sdtEndPr>
    <w:sdtContent>
      <w:p>
        <w:pPr>
          <w:pStyle w:val="21"/>
          <w:framePr w:wrap="auto" w:vAnchor="text" w:hAnchor="margin" w:xAlign="right" w:y="1"/>
          <w:rPr>
            <w:rStyle w:val="35"/>
          </w:rPr>
        </w:pPr>
        <w:r>
          <w:rPr>
            <w:rStyle w:val="35"/>
          </w:rPr>
          <w:fldChar w:fldCharType="begin"/>
        </w:r>
        <w:r>
          <w:rPr>
            <w:rStyle w:val="35"/>
          </w:rPr>
          <w:instrText xml:space="preserve"> PAGE </w:instrText>
        </w:r>
        <w:r>
          <w:rPr>
            <w:rStyle w:val="35"/>
          </w:rPr>
          <w:fldChar w:fldCharType="separate"/>
        </w:r>
        <w:r>
          <w:rPr>
            <w:rStyle w:val="35"/>
          </w:rPr>
          <w:t>I</w:t>
        </w:r>
        <w:r>
          <w:rPr>
            <w:rStyle w:val="35"/>
          </w:rPr>
          <w:fldChar w:fldCharType="end"/>
        </w:r>
      </w:p>
    </w:sdtContent>
  </w:sdt>
  <w:p>
    <w:pPr>
      <w:pStyle w:val="59"/>
      <w:ind w:right="360"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35"/>
      </w:rPr>
      <w:id w:val="-444006873"/>
    </w:sdtPr>
    <w:sdtEndPr>
      <w:rPr>
        <w:rStyle w:val="35"/>
      </w:rPr>
    </w:sdtEndPr>
    <w:sdtContent>
      <w:p>
        <w:pPr>
          <w:pStyle w:val="21"/>
          <w:framePr w:wrap="auto" w:vAnchor="text" w:hAnchor="margin" w:xAlign="right" w:y="1"/>
          <w:rPr>
            <w:rStyle w:val="35"/>
          </w:rPr>
        </w:pPr>
        <w:r>
          <w:rPr>
            <w:rStyle w:val="35"/>
          </w:rPr>
          <w:fldChar w:fldCharType="begin"/>
        </w:r>
        <w:r>
          <w:rPr>
            <w:rStyle w:val="35"/>
          </w:rPr>
          <w:instrText xml:space="preserve"> PAGE </w:instrText>
        </w:r>
        <w:r>
          <w:rPr>
            <w:rStyle w:val="35"/>
          </w:rPr>
          <w:fldChar w:fldCharType="separate"/>
        </w:r>
        <w:r>
          <w:rPr>
            <w:rStyle w:val="35"/>
          </w:rPr>
          <w:t>II</w:t>
        </w:r>
        <w:r>
          <w:rPr>
            <w:rStyle w:val="35"/>
          </w:rPr>
          <w:fldChar w:fldCharType="end"/>
        </w:r>
      </w:p>
    </w:sdtContent>
  </w:sdt>
  <w:p>
    <w:pPr>
      <w:pStyle w:val="2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keepNext w:val="0"/>
      <w:keepLines w:val="0"/>
      <w:pageBreakBefore w:val="0"/>
      <w:widowControl/>
      <w:kinsoku/>
      <w:wordWrap/>
      <w:overflowPunct/>
      <w:topLinePunct w:val="0"/>
      <w:bidi w:val="0"/>
      <w:adjustRightInd/>
      <w:snapToGrid/>
      <w:ind w:right="0"/>
      <w:textAlignment w:val="auto"/>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keepNext w:val="0"/>
      <w:keepLines w:val="0"/>
      <w:pageBreakBefore w:val="0"/>
      <w:widowControl/>
      <w:kinsoku/>
      <w:wordWrap/>
      <w:overflowPunct/>
      <w:topLinePunct w:val="0"/>
      <w:bidi w:val="0"/>
      <w:adjustRightInd/>
      <w:snapToGrid/>
      <w:ind w:left="0"/>
      <w:textAlignment w:val="auto"/>
    </w:pPr>
    <w:r>
      <w:fldChar w:fldCharType="begin"/>
    </w:r>
    <w:r>
      <w:instrText xml:space="preserve"> PAGE   \* MERGEFORMAT \* MERGEFORMAT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7"/>
      <w:spacing w:after="284"/>
      <w:jc w:val="right"/>
    </w:pPr>
    <w:r>
      <w:rPr>
        <w:rFonts w:hint="eastAsia" w:ascii="黑体" w:hAnsi="黑体" w:eastAsia="黑体"/>
      </w:rPr>
      <w:t xml:space="preserve">DB3205/T </w:t>
    </w:r>
    <w:r>
      <w:rPr>
        <w:rFonts w:ascii="黑体" w:hAnsi="黑体" w:eastAsia="黑体"/>
      </w:rPr>
      <w:t>XXX—</w:t>
    </w:r>
    <w:r>
      <w:rPr>
        <w:rFonts w:hint="eastAsia" w:ascii="黑体" w:hAnsi="黑体" w:eastAsia="黑体"/>
      </w:rPr>
      <w:t>202</w:t>
    </w:r>
    <w:r>
      <w:rPr>
        <w:rFonts w:ascii="黑体" w:hAnsi="黑体" w:eastAsia="黑体"/>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7"/>
      <w:spacing w:after="284"/>
      <w:ind w:right="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7"/>
      <w:spacing w:after="284"/>
      <w:jc w:val="right"/>
    </w:pPr>
    <w:r>
      <w:rPr>
        <w:rFonts w:hint="eastAsia" w:ascii="黑体" w:hAnsi="黑体" w:eastAsia="黑体"/>
      </w:rPr>
      <w:t xml:space="preserve">DB3205/T </w:t>
    </w:r>
    <w:r>
      <w:rPr>
        <w:rFonts w:ascii="黑体" w:hAnsi="黑体" w:eastAsia="黑体"/>
      </w:rPr>
      <w:t>XXX—</w:t>
    </w:r>
    <w:r>
      <w:rPr>
        <w:rFonts w:hint="eastAsia" w:ascii="黑体" w:hAnsi="黑体" w:eastAsia="黑体"/>
      </w:rPr>
      <w:t>202</w:t>
    </w:r>
    <w:r>
      <w:rPr>
        <w:rFonts w:ascii="黑体" w:hAnsi="黑体" w:eastAsia="黑体"/>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7"/>
      <w:spacing w:after="284"/>
      <w:jc w:val="right"/>
    </w:pPr>
    <w:r>
      <w:rPr>
        <w:rFonts w:hint="eastAsia" w:ascii="黑体" w:hAnsi="黑体" w:eastAsia="黑体"/>
      </w:rPr>
      <w:t xml:space="preserve">DB3205/T </w:t>
    </w:r>
    <w:r>
      <w:rPr>
        <w:rFonts w:ascii="黑体" w:hAnsi="黑体" w:eastAsia="黑体"/>
      </w:rPr>
      <w:t>XXX</w:t>
    </w:r>
    <w:r>
      <w:rPr>
        <w:rFonts w:hint="eastAsia" w:ascii="黑体" w:hAnsi="黑体" w:eastAsia="黑体"/>
      </w:rPr>
      <w:t>—202</w:t>
    </w:r>
    <w:r>
      <w:rPr>
        <w:rFonts w:ascii="黑体" w:hAnsi="黑体" w:eastAsia="黑体"/>
      </w:rP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7"/>
      <w:spacing w:after="284"/>
    </w:pPr>
    <w:r>
      <w:rPr>
        <w:rFonts w:hint="eastAsia" w:ascii="黑体" w:hAnsi="黑体" w:eastAsia="黑体"/>
      </w:rPr>
      <w:t>DB3205/T XXX—202</w:t>
    </w:r>
    <w:r>
      <w:rPr>
        <w:rFonts w:ascii="黑体" w:hAnsi="黑体" w:eastAsia="黑体"/>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2989FB"/>
    <w:multiLevelType w:val="singleLevel"/>
    <w:tmpl w:val="A12989FB"/>
    <w:lvl w:ilvl="0" w:tentative="0">
      <w:start w:val="1"/>
      <w:numFmt w:val="lowerLetter"/>
      <w:suff w:val="space"/>
      <w:lvlText w:val="%1）"/>
      <w:lvlJc w:val="left"/>
      <w:rPr>
        <w:rFonts w:hint="default" w:ascii="宋体" w:hAnsi="宋体" w:eastAsia="宋体" w:cs="宋体"/>
        <w:sz w:val="21"/>
        <w:szCs w:val="21"/>
      </w:rPr>
    </w:lvl>
  </w:abstractNum>
  <w:abstractNum w:abstractNumId="1">
    <w:nsid w:val="AE314BCC"/>
    <w:multiLevelType w:val="singleLevel"/>
    <w:tmpl w:val="AE314BCC"/>
    <w:lvl w:ilvl="0" w:tentative="0">
      <w:start w:val="1"/>
      <w:numFmt w:val="lowerLetter"/>
      <w:suff w:val="space"/>
      <w:lvlText w:val="%1）"/>
      <w:lvlJc w:val="left"/>
      <w:rPr>
        <w:rFonts w:hint="default" w:ascii="宋体" w:hAnsi="宋体" w:eastAsia="宋体" w:cs="宋体"/>
        <w:sz w:val="21"/>
        <w:szCs w:val="21"/>
      </w:rPr>
    </w:lvl>
  </w:abstractNum>
  <w:abstractNum w:abstractNumId="2">
    <w:nsid w:val="B8B95C42"/>
    <w:multiLevelType w:val="singleLevel"/>
    <w:tmpl w:val="B8B95C42"/>
    <w:lvl w:ilvl="0" w:tentative="0">
      <w:start w:val="1"/>
      <w:numFmt w:val="lowerLetter"/>
      <w:suff w:val="space"/>
      <w:lvlText w:val="%1）"/>
      <w:lvlJc w:val="left"/>
      <w:rPr>
        <w:rFonts w:hint="default" w:ascii="宋体" w:hAnsi="宋体" w:eastAsia="宋体" w:cs="宋体"/>
        <w:sz w:val="21"/>
        <w:szCs w:val="21"/>
      </w:rPr>
    </w:lvl>
  </w:abstractNum>
  <w:abstractNum w:abstractNumId="3">
    <w:nsid w:val="CEA76B90"/>
    <w:multiLevelType w:val="singleLevel"/>
    <w:tmpl w:val="CEA76B90"/>
    <w:lvl w:ilvl="0" w:tentative="0">
      <w:start w:val="1"/>
      <w:numFmt w:val="lowerLetter"/>
      <w:suff w:val="space"/>
      <w:lvlText w:val="%1）"/>
      <w:lvlJc w:val="left"/>
      <w:rPr>
        <w:rFonts w:hint="default" w:ascii="宋体" w:hAnsi="宋体" w:eastAsia="宋体" w:cs="宋体"/>
        <w:sz w:val="21"/>
        <w:szCs w:val="21"/>
      </w:rPr>
    </w:lvl>
  </w:abstractNum>
  <w:abstractNum w:abstractNumId="4">
    <w:nsid w:val="DBEA05E5"/>
    <w:multiLevelType w:val="singleLevel"/>
    <w:tmpl w:val="DBEA05E5"/>
    <w:lvl w:ilvl="0" w:tentative="0">
      <w:start w:val="1"/>
      <w:numFmt w:val="lowerLetter"/>
      <w:suff w:val="space"/>
      <w:lvlText w:val="%1）"/>
      <w:lvlJc w:val="left"/>
      <w:rPr>
        <w:rFonts w:hint="default" w:ascii="宋体" w:hAnsi="宋体" w:eastAsia="宋体" w:cs="宋体"/>
        <w:sz w:val="21"/>
        <w:szCs w:val="21"/>
      </w:rPr>
    </w:lvl>
  </w:abstractNum>
  <w:abstractNum w:abstractNumId="5">
    <w:nsid w:val="F073F5B7"/>
    <w:multiLevelType w:val="singleLevel"/>
    <w:tmpl w:val="F073F5B7"/>
    <w:lvl w:ilvl="0" w:tentative="0">
      <w:start w:val="1"/>
      <w:numFmt w:val="lowerLetter"/>
      <w:suff w:val="space"/>
      <w:lvlText w:val="%1）"/>
      <w:lvlJc w:val="left"/>
      <w:rPr>
        <w:rFonts w:hint="default" w:ascii="宋体" w:hAnsi="宋体" w:eastAsia="宋体" w:cs="宋体"/>
        <w:sz w:val="21"/>
        <w:szCs w:val="21"/>
      </w:rPr>
    </w:lvl>
  </w:abstractNum>
  <w:abstractNum w:abstractNumId="6">
    <w:nsid w:val="02837933"/>
    <w:multiLevelType w:val="multilevel"/>
    <w:tmpl w:val="02837933"/>
    <w:lvl w:ilvl="0" w:tentative="0">
      <w:start w:val="1"/>
      <w:numFmt w:val="decimal"/>
      <w:pStyle w:val="71"/>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7">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6"/>
      <w:suff w:val="nothing"/>
      <w:lvlText w:val="%1%2.%3　"/>
      <w:lvlJc w:val="left"/>
      <w:pPr>
        <w:ind w:left="0" w:firstLine="0"/>
      </w:pPr>
    </w:lvl>
    <w:lvl w:ilvl="3" w:tentative="0">
      <w:start w:val="1"/>
      <w:numFmt w:val="decimal"/>
      <w:pStyle w:val="125"/>
      <w:suff w:val="nothing"/>
      <w:lvlText w:val="%1%2.%3.%4　"/>
      <w:lvlJc w:val="left"/>
      <w:pPr>
        <w:ind w:left="0" w:firstLine="0"/>
      </w:pPr>
    </w:lvl>
    <w:lvl w:ilvl="4" w:tentative="0">
      <w:start w:val="1"/>
      <w:numFmt w:val="decimal"/>
      <w:pStyle w:val="160"/>
      <w:suff w:val="nothing"/>
      <w:lvlText w:val="%1%2.%3.%4.%5　"/>
      <w:lvlJc w:val="left"/>
      <w:pPr>
        <w:ind w:left="0" w:firstLine="0"/>
      </w:pPr>
    </w:lvl>
    <w:lvl w:ilvl="5" w:tentative="0">
      <w:start w:val="1"/>
      <w:numFmt w:val="decimal"/>
      <w:pStyle w:val="162"/>
      <w:suff w:val="nothing"/>
      <w:lvlText w:val="%1%2.%3.%4.%5.%6　"/>
      <w:lvlJc w:val="left"/>
      <w:pPr>
        <w:ind w:left="0" w:firstLine="0"/>
      </w:pPr>
    </w:lvl>
    <w:lvl w:ilvl="6" w:tentative="0">
      <w:start w:val="1"/>
      <w:numFmt w:val="decimal"/>
      <w:pStyle w:val="165"/>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79102AD"/>
    <w:multiLevelType w:val="multilevel"/>
    <w:tmpl w:val="079102AD"/>
    <w:lvl w:ilvl="0" w:tentative="0">
      <w:start w:val="1"/>
      <w:numFmt w:val="decimal"/>
      <w:pStyle w:val="187"/>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7ED3FEA"/>
    <w:multiLevelType w:val="multilevel"/>
    <w:tmpl w:val="07ED3FEA"/>
    <w:lvl w:ilvl="0" w:tentative="0">
      <w:start w:val="1"/>
      <w:numFmt w:val="none"/>
      <w:pStyle w:val="96"/>
      <w:lvlText w:val="%1"/>
      <w:lvlJc w:val="left"/>
      <w:pPr>
        <w:ind w:left="425" w:hanging="425"/>
      </w:pPr>
      <w:rPr>
        <w:rFonts w:hint="eastAsia"/>
      </w:rPr>
    </w:lvl>
    <w:lvl w:ilvl="1" w:tentative="0">
      <w:start w:val="1"/>
      <w:numFmt w:val="decimal"/>
      <w:pStyle w:val="207"/>
      <w:suff w:val="nothing"/>
      <w:lvlText w:val="%10.%2 "/>
      <w:lvlJc w:val="left"/>
      <w:pPr>
        <w:ind w:left="0" w:firstLine="0"/>
      </w:pPr>
      <w:rPr>
        <w:rFonts w:hint="eastAsia" w:ascii="黑体" w:eastAsia="黑体" w:hAnsiTheme="minorHAnsi"/>
        <w:b w:val="0"/>
        <w:i w:val="0"/>
        <w:sz w:val="21"/>
      </w:rPr>
    </w:lvl>
    <w:lvl w:ilvl="2" w:tentative="0">
      <w:start w:val="1"/>
      <w:numFmt w:val="decimal"/>
      <w:pStyle w:val="208"/>
      <w:suff w:val="nothing"/>
      <w:lvlText w:val="%10.%2.%3 "/>
      <w:lvlJc w:val="left"/>
      <w:pPr>
        <w:ind w:left="0" w:firstLine="0"/>
      </w:pPr>
      <w:rPr>
        <w:rFonts w:hint="eastAsia" w:ascii="黑体" w:eastAsia="黑体" w:hAnsiTheme="minorHAnsi"/>
        <w:b w:val="0"/>
        <w:i w:val="0"/>
        <w:sz w:val="21"/>
      </w:rPr>
    </w:lvl>
    <w:lvl w:ilvl="3" w:tentative="0">
      <w:start w:val="1"/>
      <w:numFmt w:val="decimal"/>
      <w:pStyle w:val="209"/>
      <w:suff w:val="nothing"/>
      <w:lvlText w:val="%10.%2.%3.%4 "/>
      <w:lvlJc w:val="left"/>
      <w:pPr>
        <w:ind w:left="0" w:firstLine="0"/>
      </w:pPr>
      <w:rPr>
        <w:rFonts w:hint="eastAsia" w:ascii="黑体" w:eastAsia="黑体" w:hAnsiTheme="minorHAnsi"/>
        <w:b w:val="0"/>
        <w:i w:val="0"/>
        <w:sz w:val="21"/>
      </w:rPr>
    </w:lvl>
    <w:lvl w:ilvl="4" w:tentative="0">
      <w:start w:val="1"/>
      <w:numFmt w:val="decimal"/>
      <w:pStyle w:val="210"/>
      <w:suff w:val="nothing"/>
      <w:lvlText w:val="%10.%2.%3.%4.%5 "/>
      <w:lvlJc w:val="left"/>
      <w:pPr>
        <w:ind w:left="0" w:firstLine="0"/>
      </w:pPr>
      <w:rPr>
        <w:rFonts w:hint="eastAsia" w:ascii="黑体" w:eastAsia="黑体" w:hAnsiTheme="minorHAnsi"/>
        <w:b w:val="0"/>
        <w:i w:val="0"/>
        <w:sz w:val="21"/>
      </w:rPr>
    </w:lvl>
    <w:lvl w:ilvl="5" w:tentative="0">
      <w:start w:val="1"/>
      <w:numFmt w:val="decimal"/>
      <w:pStyle w:val="211"/>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0AE367E9"/>
    <w:multiLevelType w:val="multilevel"/>
    <w:tmpl w:val="0AE367E9"/>
    <w:lvl w:ilvl="0" w:tentative="0">
      <w:start w:val="1"/>
      <w:numFmt w:val="none"/>
      <w:pStyle w:val="188"/>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0BDC1670"/>
    <w:multiLevelType w:val="multilevel"/>
    <w:tmpl w:val="0BDC1670"/>
    <w:lvl w:ilvl="0" w:tentative="0">
      <w:start w:val="1"/>
      <w:numFmt w:val="decimal"/>
      <w:pStyle w:val="74"/>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D051F45"/>
    <w:multiLevelType w:val="multilevel"/>
    <w:tmpl w:val="0D051F45"/>
    <w:lvl w:ilvl="0" w:tentative="0">
      <w:start w:val="1"/>
      <w:numFmt w:val="lowerRoman"/>
      <w:pStyle w:val="17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3">
    <w:nsid w:val="15EF0C26"/>
    <w:multiLevelType w:val="multilevel"/>
    <w:tmpl w:val="15EF0C26"/>
    <w:lvl w:ilvl="0" w:tentative="0">
      <w:start w:val="1"/>
      <w:numFmt w:val="lowerLetter"/>
      <w:pStyle w:val="281"/>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1AD20F90"/>
    <w:multiLevelType w:val="multilevel"/>
    <w:tmpl w:val="1AD20F90"/>
    <w:lvl w:ilvl="0" w:tentative="0">
      <w:start w:val="1"/>
      <w:numFmt w:val="none"/>
      <w:pStyle w:val="117"/>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1AF15012"/>
    <w:multiLevelType w:val="multilevel"/>
    <w:tmpl w:val="1AF15012"/>
    <w:lvl w:ilvl="0" w:tentative="0">
      <w:start w:val="1"/>
      <w:numFmt w:val="upperLetter"/>
      <w:pStyle w:val="92"/>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1EAA1992"/>
    <w:multiLevelType w:val="multilevel"/>
    <w:tmpl w:val="1EAA1992"/>
    <w:lvl w:ilvl="0" w:tentative="0">
      <w:start w:val="1"/>
      <w:numFmt w:val="none"/>
      <w:pStyle w:val="99"/>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7">
    <w:nsid w:val="2C5917C3"/>
    <w:multiLevelType w:val="multilevel"/>
    <w:tmpl w:val="2C5917C3"/>
    <w:lvl w:ilvl="0" w:tentative="0">
      <w:start w:val="1"/>
      <w:numFmt w:val="none"/>
      <w:pStyle w:val="139"/>
      <w:lvlText w:val="%1——"/>
      <w:lvlJc w:val="left"/>
      <w:pPr>
        <w:tabs>
          <w:tab w:val="left" w:pos="851"/>
        </w:tabs>
        <w:ind w:left="851" w:hanging="426"/>
      </w:pPr>
      <w:rPr>
        <w:rFonts w:hint="eastAsia" w:ascii="黑体" w:hAnsi="黑体" w:eastAsia="黑体"/>
        <w:b w:val="0"/>
        <w:i w:val="0"/>
        <w:color w:val="auto"/>
        <w:sz w:val="21"/>
      </w:rPr>
    </w:lvl>
    <w:lvl w:ilvl="1" w:tentative="0">
      <w:start w:val="1"/>
      <w:numFmt w:val="none"/>
      <w:pStyle w:val="194"/>
      <w:lvlText w:val=""/>
      <w:lvlJc w:val="left"/>
      <w:pPr>
        <w:ind w:left="851" w:hanging="431"/>
      </w:pPr>
      <w:rPr>
        <w:rFonts w:hint="default" w:ascii="Symbol" w:hAnsi="Symbol"/>
        <w:sz w:val="21"/>
      </w:rPr>
    </w:lvl>
    <w:lvl w:ilvl="2" w:tentative="0">
      <w:start w:val="1"/>
      <w:numFmt w:val="bullet"/>
      <w:pStyle w:val="179"/>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8">
    <w:nsid w:val="32F04FB2"/>
    <w:multiLevelType w:val="multilevel"/>
    <w:tmpl w:val="32F04FB2"/>
    <w:lvl w:ilvl="0" w:tentative="0">
      <w:start w:val="1"/>
      <w:numFmt w:val="lowerLetter"/>
      <w:pStyle w:val="108"/>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9">
    <w:nsid w:val="44C50F90"/>
    <w:multiLevelType w:val="multilevel"/>
    <w:tmpl w:val="44C50F90"/>
    <w:lvl w:ilvl="0" w:tentative="0">
      <w:start w:val="1"/>
      <w:numFmt w:val="lowerLetter"/>
      <w:pStyle w:val="181"/>
      <w:lvlText w:val="%1)"/>
      <w:lvlJc w:val="left"/>
      <w:pPr>
        <w:tabs>
          <w:tab w:val="left" w:pos="851"/>
        </w:tabs>
        <w:ind w:left="846" w:hanging="426"/>
      </w:pPr>
      <w:rPr>
        <w:rFonts w:hint="default" w:ascii="宋体" w:hAnsi="宋体" w:eastAsia="宋体" w:cs="宋体"/>
        <w:sz w:val="21"/>
      </w:rPr>
    </w:lvl>
    <w:lvl w:ilvl="1" w:tentative="0">
      <w:start w:val="1"/>
      <w:numFmt w:val="decimal"/>
      <w:pStyle w:val="116"/>
      <w:lvlText w:val="%2)"/>
      <w:lvlJc w:val="left"/>
      <w:pPr>
        <w:tabs>
          <w:tab w:val="left" w:pos="1276"/>
        </w:tabs>
        <w:ind w:left="1271" w:hanging="425"/>
      </w:pPr>
      <w:rPr>
        <w:rFonts w:hint="eastAsia" w:ascii="宋体" w:hAnsi="Times New Roman" w:eastAsia="宋体"/>
        <w:sz w:val="21"/>
      </w:rPr>
    </w:lvl>
    <w:lvl w:ilvl="2" w:tentative="0">
      <w:start w:val="1"/>
      <w:numFmt w:val="decimal"/>
      <w:pStyle w:val="124"/>
      <w:lvlText w:val="(%3)"/>
      <w:lvlJc w:val="left"/>
      <w:pPr>
        <w:ind w:left="1696" w:hanging="425"/>
      </w:pPr>
      <w:rPr>
        <w:rFonts w:hint="eastAsia" w:ascii="宋体" w:hAnsi="Times New Roman" w:eastAsia="宋体"/>
        <w:sz w:val="21"/>
      </w:rPr>
    </w:lvl>
    <w:lvl w:ilvl="3" w:tentative="0">
      <w:start w:val="1"/>
      <w:numFmt w:val="decimal"/>
      <w:lvlText w:val="%4."/>
      <w:lvlJc w:val="left"/>
      <w:pPr>
        <w:tabs>
          <w:tab w:val="left" w:pos="2100"/>
        </w:tabs>
        <w:ind w:left="2094" w:hanging="419"/>
      </w:pPr>
      <w:rPr>
        <w:rFonts w:hint="eastAsia"/>
      </w:rPr>
    </w:lvl>
    <w:lvl w:ilvl="4" w:tentative="0">
      <w:start w:val="1"/>
      <w:numFmt w:val="lowerLetter"/>
      <w:lvlText w:val="%5)"/>
      <w:lvlJc w:val="left"/>
      <w:pPr>
        <w:tabs>
          <w:tab w:val="left" w:pos="2520"/>
        </w:tabs>
        <w:ind w:left="2514" w:hanging="419"/>
      </w:pPr>
      <w:rPr>
        <w:rFonts w:hint="eastAsia"/>
      </w:rPr>
    </w:lvl>
    <w:lvl w:ilvl="5" w:tentative="0">
      <w:start w:val="1"/>
      <w:numFmt w:val="lowerRoman"/>
      <w:lvlText w:val="%6."/>
      <w:lvlJc w:val="right"/>
      <w:pPr>
        <w:tabs>
          <w:tab w:val="left" w:pos="2940"/>
        </w:tabs>
        <w:ind w:left="2934" w:hanging="419"/>
      </w:pPr>
      <w:rPr>
        <w:rFonts w:hint="eastAsia"/>
      </w:rPr>
    </w:lvl>
    <w:lvl w:ilvl="6" w:tentative="0">
      <w:start w:val="1"/>
      <w:numFmt w:val="decimal"/>
      <w:lvlText w:val="%7."/>
      <w:lvlJc w:val="left"/>
      <w:pPr>
        <w:tabs>
          <w:tab w:val="left" w:pos="3360"/>
        </w:tabs>
        <w:ind w:left="3354" w:hanging="419"/>
      </w:pPr>
      <w:rPr>
        <w:rFonts w:hint="eastAsia"/>
      </w:rPr>
    </w:lvl>
    <w:lvl w:ilvl="7" w:tentative="0">
      <w:start w:val="1"/>
      <w:numFmt w:val="lowerLetter"/>
      <w:lvlText w:val="%8)"/>
      <w:lvlJc w:val="left"/>
      <w:pPr>
        <w:tabs>
          <w:tab w:val="left" w:pos="3780"/>
        </w:tabs>
        <w:ind w:left="3774" w:hanging="419"/>
      </w:pPr>
      <w:rPr>
        <w:rFonts w:hint="eastAsia"/>
      </w:rPr>
    </w:lvl>
    <w:lvl w:ilvl="8" w:tentative="0">
      <w:start w:val="1"/>
      <w:numFmt w:val="lowerRoman"/>
      <w:lvlText w:val="%9."/>
      <w:lvlJc w:val="right"/>
      <w:pPr>
        <w:tabs>
          <w:tab w:val="left" w:pos="4200"/>
        </w:tabs>
        <w:ind w:left="4194" w:hanging="419"/>
      </w:pPr>
      <w:rPr>
        <w:rFonts w:hint="eastAsia"/>
      </w:rPr>
    </w:lvl>
  </w:abstractNum>
  <w:abstractNum w:abstractNumId="20">
    <w:nsid w:val="48802D1C"/>
    <w:multiLevelType w:val="multilevel"/>
    <w:tmpl w:val="48802D1C"/>
    <w:lvl w:ilvl="0" w:tentative="0">
      <w:start w:val="1"/>
      <w:numFmt w:val="upperLetter"/>
      <w:pStyle w:val="205"/>
      <w:lvlText w:val="%1"/>
      <w:lvlJc w:val="left"/>
      <w:pPr>
        <w:ind w:left="420" w:hanging="420"/>
      </w:pPr>
      <w:rPr>
        <w:rFonts w:hint="eastAsia"/>
      </w:rPr>
    </w:lvl>
    <w:lvl w:ilvl="1" w:tentative="0">
      <w:start w:val="1"/>
      <w:numFmt w:val="decimal"/>
      <w:pStyle w:val="90"/>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1">
    <w:nsid w:val="4B733A5F"/>
    <w:multiLevelType w:val="multilevel"/>
    <w:tmpl w:val="4B733A5F"/>
    <w:lvl w:ilvl="0" w:tentative="0">
      <w:start w:val="1"/>
      <w:numFmt w:val="decimal"/>
      <w:pStyle w:val="190"/>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2">
    <w:nsid w:val="4E5D0534"/>
    <w:multiLevelType w:val="multilevel"/>
    <w:tmpl w:val="4E5D0534"/>
    <w:lvl w:ilvl="0" w:tentative="0">
      <w:start w:val="1"/>
      <w:numFmt w:val="decimal"/>
      <w:pStyle w:val="123"/>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4632751"/>
    <w:multiLevelType w:val="multilevel"/>
    <w:tmpl w:val="54632751"/>
    <w:lvl w:ilvl="0" w:tentative="0">
      <w:start w:val="1"/>
      <w:numFmt w:val="none"/>
      <w:pStyle w:val="100"/>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4">
    <w:nsid w:val="557C2AF5"/>
    <w:multiLevelType w:val="multilevel"/>
    <w:tmpl w:val="557C2AF5"/>
    <w:lvl w:ilvl="0" w:tentative="0">
      <w:start w:val="1"/>
      <w:numFmt w:val="decimal"/>
      <w:pStyle w:val="121"/>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5">
    <w:nsid w:val="564D2089"/>
    <w:multiLevelType w:val="multilevel"/>
    <w:tmpl w:val="564D2089"/>
    <w:lvl w:ilvl="0" w:tentative="0">
      <w:start w:val="1"/>
      <w:numFmt w:val="none"/>
      <w:pStyle w:val="118"/>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44622F9"/>
    <w:multiLevelType w:val="multilevel"/>
    <w:tmpl w:val="644622F9"/>
    <w:lvl w:ilvl="0" w:tentative="0">
      <w:start w:val="1"/>
      <w:numFmt w:val="upperRoman"/>
      <w:pStyle w:val="175"/>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96"/>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83"/>
      <w:suff w:val="nothing"/>
      <w:lvlText w:val="附录%1"/>
      <w:lvlJc w:val="left"/>
      <w:pPr>
        <w:ind w:left="0" w:firstLine="0"/>
      </w:pPr>
      <w:rPr>
        <w:rFonts w:hint="eastAsia"/>
        <w:spacing w:val="100"/>
      </w:rPr>
    </w:lvl>
    <w:lvl w:ilvl="1" w:tentative="0">
      <w:start w:val="1"/>
      <w:numFmt w:val="decimal"/>
      <w:pStyle w:val="85"/>
      <w:suff w:val="nothing"/>
      <w:lvlText w:val="%1.%2　"/>
      <w:lvlJc w:val="left"/>
      <w:pPr>
        <w:ind w:left="0" w:firstLine="0"/>
      </w:pPr>
      <w:rPr>
        <w:rFonts w:hint="eastAsia" w:ascii="黑体" w:eastAsia="黑体"/>
        <w:b w:val="0"/>
        <w:i w:val="0"/>
        <w:sz w:val="21"/>
      </w:rPr>
    </w:lvl>
    <w:lvl w:ilvl="2" w:tentative="0">
      <w:start w:val="1"/>
      <w:numFmt w:val="decimal"/>
      <w:pStyle w:val="86"/>
      <w:suff w:val="nothing"/>
      <w:lvlText w:val="%1.%2.%3　"/>
      <w:lvlJc w:val="left"/>
      <w:pPr>
        <w:ind w:left="0" w:firstLine="0"/>
      </w:pPr>
      <w:rPr>
        <w:rFonts w:hint="eastAsia" w:ascii="黑体" w:eastAsia="黑体"/>
        <w:b w:val="0"/>
        <w:i w:val="0"/>
        <w:sz w:val="21"/>
      </w:rPr>
    </w:lvl>
    <w:lvl w:ilvl="3" w:tentative="0">
      <w:start w:val="1"/>
      <w:numFmt w:val="decimal"/>
      <w:pStyle w:val="88"/>
      <w:suff w:val="nothing"/>
      <w:lvlText w:val="%1.%2.%3.%4　"/>
      <w:lvlJc w:val="left"/>
      <w:pPr>
        <w:ind w:left="0" w:firstLine="0"/>
      </w:pPr>
      <w:rPr>
        <w:rFonts w:hint="eastAsia" w:ascii="黑体" w:eastAsia="黑体"/>
        <w:b w:val="0"/>
        <w:i w:val="0"/>
        <w:sz w:val="21"/>
      </w:rPr>
    </w:lvl>
    <w:lvl w:ilvl="4" w:tentative="0">
      <w:start w:val="1"/>
      <w:numFmt w:val="decimal"/>
      <w:pStyle w:val="89"/>
      <w:suff w:val="nothing"/>
      <w:lvlText w:val="%1.%2.%3.%4.%5　"/>
      <w:lvlJc w:val="left"/>
      <w:pPr>
        <w:ind w:left="0" w:firstLine="0"/>
      </w:pPr>
      <w:rPr>
        <w:rFonts w:hint="eastAsia" w:ascii="黑体" w:eastAsia="黑体"/>
        <w:b w:val="0"/>
        <w:i w:val="0"/>
        <w:sz w:val="21"/>
      </w:rPr>
    </w:lvl>
    <w:lvl w:ilvl="5" w:tentative="0">
      <w:start w:val="1"/>
      <w:numFmt w:val="decimal"/>
      <w:pStyle w:val="91"/>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95"/>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104"/>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18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EA2025"/>
    <w:multiLevelType w:val="multilevel"/>
    <w:tmpl w:val="6CEA2025"/>
    <w:lvl w:ilvl="0" w:tentative="0">
      <w:start w:val="1"/>
      <w:numFmt w:val="none"/>
      <w:pStyle w:val="159"/>
      <w:suff w:val="nothing"/>
      <w:lvlText w:val="%1"/>
      <w:lvlJc w:val="left"/>
      <w:pPr>
        <w:ind w:left="0" w:firstLine="0"/>
      </w:pPr>
      <w:rPr>
        <w:rFonts w:hint="eastAsia"/>
      </w:rPr>
    </w:lvl>
    <w:lvl w:ilvl="1" w:tentative="0">
      <w:start w:val="1"/>
      <w:numFmt w:val="decimal"/>
      <w:pStyle w:val="111"/>
      <w:suff w:val="nothing"/>
      <w:lvlText w:val="%1%2　"/>
      <w:lvlJc w:val="left"/>
      <w:pPr>
        <w:ind w:left="0" w:firstLine="0"/>
      </w:pPr>
      <w:rPr>
        <w:rFonts w:hint="eastAsia" w:ascii="黑体" w:eastAsia="黑体"/>
        <w:b w:val="0"/>
        <w:i w:val="0"/>
        <w:sz w:val="21"/>
      </w:rPr>
    </w:lvl>
    <w:lvl w:ilvl="2" w:tentative="0">
      <w:start w:val="1"/>
      <w:numFmt w:val="decimal"/>
      <w:pStyle w:val="11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72"/>
      <w:suff w:val="nothing"/>
      <w:lvlText w:val="%1%2.%3.%4　"/>
      <w:lvlJc w:val="left"/>
      <w:pPr>
        <w:ind w:left="0" w:firstLine="0"/>
      </w:pPr>
      <w:rPr>
        <w:rFonts w:hint="eastAsia" w:ascii="黑体" w:eastAsia="黑体"/>
        <w:b w:val="0"/>
        <w:i w:val="0"/>
        <w:sz w:val="21"/>
      </w:rPr>
    </w:lvl>
    <w:lvl w:ilvl="4" w:tentative="0">
      <w:start w:val="1"/>
      <w:numFmt w:val="decimal"/>
      <w:pStyle w:val="101"/>
      <w:suff w:val="nothing"/>
      <w:lvlText w:val="%1%2.%3.%4.%5　"/>
      <w:lvlJc w:val="left"/>
      <w:pPr>
        <w:ind w:left="0" w:firstLine="0"/>
      </w:pPr>
      <w:rPr>
        <w:rFonts w:hint="eastAsia" w:ascii="黑体" w:eastAsia="黑体"/>
        <w:b w:val="0"/>
        <w:i w:val="0"/>
        <w:sz w:val="21"/>
      </w:rPr>
    </w:lvl>
    <w:lvl w:ilvl="5" w:tentative="0">
      <w:start w:val="1"/>
      <w:numFmt w:val="decimal"/>
      <w:pStyle w:val="105"/>
      <w:suff w:val="nothing"/>
      <w:lvlText w:val="%1%2.%3.%4.%5.%6　"/>
      <w:lvlJc w:val="left"/>
      <w:pPr>
        <w:ind w:left="0" w:firstLine="0"/>
      </w:pPr>
      <w:rPr>
        <w:rFonts w:hint="eastAsia" w:ascii="黑体" w:eastAsia="黑体"/>
        <w:b w:val="0"/>
        <w:i w:val="0"/>
        <w:sz w:val="21"/>
      </w:rPr>
    </w:lvl>
    <w:lvl w:ilvl="6" w:tentative="0">
      <w:start w:val="1"/>
      <w:numFmt w:val="decimal"/>
      <w:pStyle w:val="110"/>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tentative="0">
      <w:start w:val="1"/>
      <w:numFmt w:val="none"/>
      <w:pStyle w:val="186"/>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tentative="0">
      <w:start w:val="1"/>
      <w:numFmt w:val="decimal"/>
      <w:pStyle w:val="122"/>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76933334"/>
    <w:multiLevelType w:val="multilevel"/>
    <w:tmpl w:val="76933334"/>
    <w:lvl w:ilvl="0" w:tentative="0">
      <w:start w:val="1"/>
      <w:numFmt w:val="none"/>
      <w:pStyle w:val="146"/>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7E532F85"/>
    <w:multiLevelType w:val="multilevel"/>
    <w:tmpl w:val="7E532F85"/>
    <w:lvl w:ilvl="0" w:tentative="0">
      <w:start w:val="1"/>
      <w:numFmt w:val="upperLetter"/>
      <w:pStyle w:val="206"/>
      <w:suff w:val="space"/>
      <w:lvlText w:val="%1"/>
      <w:lvlJc w:val="left"/>
      <w:pPr>
        <w:ind w:left="425" w:hanging="425"/>
      </w:pPr>
      <w:rPr>
        <w:rFonts w:hint="eastAsia"/>
      </w:rPr>
    </w:lvl>
    <w:lvl w:ilvl="1" w:tentative="0">
      <w:start w:val="1"/>
      <w:numFmt w:val="decimal"/>
      <w:pStyle w:val="84"/>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6"/>
  </w:num>
  <w:num w:numId="2">
    <w:abstractNumId w:val="33"/>
  </w:num>
  <w:num w:numId="3">
    <w:abstractNumId w:val="11"/>
  </w:num>
  <w:num w:numId="4">
    <w:abstractNumId w:val="29"/>
  </w:num>
  <w:num w:numId="5">
    <w:abstractNumId w:val="37"/>
  </w:num>
  <w:num w:numId="6">
    <w:abstractNumId w:val="20"/>
  </w:num>
  <w:num w:numId="7">
    <w:abstractNumId w:val="15"/>
  </w:num>
  <w:num w:numId="8">
    <w:abstractNumId w:val="9"/>
  </w:num>
  <w:num w:numId="9">
    <w:abstractNumId w:val="16"/>
  </w:num>
  <w:num w:numId="10">
    <w:abstractNumId w:val="23"/>
  </w:num>
  <w:num w:numId="11">
    <w:abstractNumId w:val="31"/>
  </w:num>
  <w:num w:numId="12">
    <w:abstractNumId w:val="18"/>
  </w:num>
  <w:num w:numId="13">
    <w:abstractNumId w:val="19"/>
  </w:num>
  <w:num w:numId="14">
    <w:abstractNumId w:val="14"/>
  </w:num>
  <w:num w:numId="15">
    <w:abstractNumId w:val="25"/>
  </w:num>
  <w:num w:numId="16">
    <w:abstractNumId w:val="27"/>
  </w:num>
  <w:num w:numId="17">
    <w:abstractNumId w:val="24"/>
  </w:num>
  <w:num w:numId="18">
    <w:abstractNumId w:val="35"/>
  </w:num>
  <w:num w:numId="19">
    <w:abstractNumId w:val="22"/>
  </w:num>
  <w:num w:numId="20">
    <w:abstractNumId w:val="7"/>
  </w:num>
  <w:num w:numId="21">
    <w:abstractNumId w:val="17"/>
  </w:num>
  <w:num w:numId="22">
    <w:abstractNumId w:val="36"/>
  </w:num>
  <w:num w:numId="23">
    <w:abstractNumId w:val="26"/>
  </w:num>
  <w:num w:numId="24">
    <w:abstractNumId w:val="12"/>
  </w:num>
  <w:num w:numId="25">
    <w:abstractNumId w:val="32"/>
  </w:num>
  <w:num w:numId="26">
    <w:abstractNumId w:val="34"/>
  </w:num>
  <w:num w:numId="27">
    <w:abstractNumId w:val="8"/>
  </w:num>
  <w:num w:numId="28">
    <w:abstractNumId w:val="10"/>
  </w:num>
  <w:num w:numId="29">
    <w:abstractNumId w:val="21"/>
  </w:num>
  <w:num w:numId="30">
    <w:abstractNumId w:val="30"/>
  </w:num>
  <w:num w:numId="31">
    <w:abstractNumId w:val="28"/>
  </w:num>
  <w:num w:numId="32">
    <w:abstractNumId w:val="13"/>
  </w:num>
  <w:num w:numId="33">
    <w:abstractNumId w:val="1"/>
  </w:num>
  <w:num w:numId="34">
    <w:abstractNumId w:val="3"/>
  </w:num>
  <w:num w:numId="35">
    <w:abstractNumId w:val="5"/>
  </w:num>
  <w:num w:numId="36">
    <w:abstractNumId w:val="4"/>
  </w:num>
  <w:num w:numId="37">
    <w:abstractNumId w:val="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hideSpellingErrors/>
  <w:hideGrammaticalErrors/>
  <w:documentProtection w:edit="forms" w:enforcement="0"/>
  <w:defaultTabStop w:val="420"/>
  <w:evenAndOddHeaders w:val="true"/>
  <w:drawingGridHorizontalSpacing w:val="105"/>
  <w:drawingGridVerticalSpacing w:val="317"/>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xMDg2ZDVmODAxZDIyMjVlZjY0Zjk3MTNiYWIwMTcifQ=="/>
  </w:docVars>
  <w:rsids>
    <w:rsidRoot w:val="0018068D"/>
    <w:rsid w:val="0000040A"/>
    <w:rsid w:val="00000A94"/>
    <w:rsid w:val="00000C9D"/>
    <w:rsid w:val="00001972"/>
    <w:rsid w:val="00001D9A"/>
    <w:rsid w:val="00001F05"/>
    <w:rsid w:val="00003AE3"/>
    <w:rsid w:val="000043ED"/>
    <w:rsid w:val="00005546"/>
    <w:rsid w:val="000056BE"/>
    <w:rsid w:val="0000617F"/>
    <w:rsid w:val="00006966"/>
    <w:rsid w:val="00006D68"/>
    <w:rsid w:val="00007500"/>
    <w:rsid w:val="00007B3A"/>
    <w:rsid w:val="00007FE4"/>
    <w:rsid w:val="0001003C"/>
    <w:rsid w:val="000107E0"/>
    <w:rsid w:val="00011C59"/>
    <w:rsid w:val="00011FDE"/>
    <w:rsid w:val="00012FFD"/>
    <w:rsid w:val="00014162"/>
    <w:rsid w:val="00014340"/>
    <w:rsid w:val="00014361"/>
    <w:rsid w:val="00014839"/>
    <w:rsid w:val="000148FD"/>
    <w:rsid w:val="00015299"/>
    <w:rsid w:val="00016908"/>
    <w:rsid w:val="00016A9C"/>
    <w:rsid w:val="000173D2"/>
    <w:rsid w:val="00017E15"/>
    <w:rsid w:val="000205E7"/>
    <w:rsid w:val="00021C93"/>
    <w:rsid w:val="0002206F"/>
    <w:rsid w:val="00022184"/>
    <w:rsid w:val="00022762"/>
    <w:rsid w:val="0002278E"/>
    <w:rsid w:val="00022B8C"/>
    <w:rsid w:val="000232BC"/>
    <w:rsid w:val="000238E0"/>
    <w:rsid w:val="00023932"/>
    <w:rsid w:val="00024795"/>
    <w:rsid w:val="000247DE"/>
    <w:rsid w:val="000249DB"/>
    <w:rsid w:val="00024B40"/>
    <w:rsid w:val="00024F62"/>
    <w:rsid w:val="0002595E"/>
    <w:rsid w:val="000303C3"/>
    <w:rsid w:val="00030A13"/>
    <w:rsid w:val="000313B4"/>
    <w:rsid w:val="000326E9"/>
    <w:rsid w:val="000331D3"/>
    <w:rsid w:val="000338E0"/>
    <w:rsid w:val="00033D6A"/>
    <w:rsid w:val="000346A5"/>
    <w:rsid w:val="0003548F"/>
    <w:rsid w:val="0003591D"/>
    <w:rsid w:val="000359C3"/>
    <w:rsid w:val="00035A7D"/>
    <w:rsid w:val="00036227"/>
    <w:rsid w:val="00036415"/>
    <w:rsid w:val="000365ED"/>
    <w:rsid w:val="00036889"/>
    <w:rsid w:val="0003771E"/>
    <w:rsid w:val="00037E4D"/>
    <w:rsid w:val="000403F2"/>
    <w:rsid w:val="000407D2"/>
    <w:rsid w:val="00041888"/>
    <w:rsid w:val="0004249A"/>
    <w:rsid w:val="0004320C"/>
    <w:rsid w:val="00043282"/>
    <w:rsid w:val="00044286"/>
    <w:rsid w:val="0004574B"/>
    <w:rsid w:val="00046C3E"/>
    <w:rsid w:val="00046F38"/>
    <w:rsid w:val="000473A7"/>
    <w:rsid w:val="00047F28"/>
    <w:rsid w:val="000503AA"/>
    <w:rsid w:val="000506A1"/>
    <w:rsid w:val="000515DD"/>
    <w:rsid w:val="000520C5"/>
    <w:rsid w:val="0005265A"/>
    <w:rsid w:val="000539DD"/>
    <w:rsid w:val="00053BD3"/>
    <w:rsid w:val="000556ED"/>
    <w:rsid w:val="00055FE2"/>
    <w:rsid w:val="0005616F"/>
    <w:rsid w:val="00056938"/>
    <w:rsid w:val="00056DF7"/>
    <w:rsid w:val="00060C2E"/>
    <w:rsid w:val="00061033"/>
    <w:rsid w:val="000619E9"/>
    <w:rsid w:val="00062202"/>
    <w:rsid w:val="000622D4"/>
    <w:rsid w:val="0006240A"/>
    <w:rsid w:val="0006357D"/>
    <w:rsid w:val="000645B3"/>
    <w:rsid w:val="0006492C"/>
    <w:rsid w:val="00064BA8"/>
    <w:rsid w:val="0006545D"/>
    <w:rsid w:val="00065834"/>
    <w:rsid w:val="00065FD4"/>
    <w:rsid w:val="00067F1E"/>
    <w:rsid w:val="00070637"/>
    <w:rsid w:val="00070688"/>
    <w:rsid w:val="000706C7"/>
    <w:rsid w:val="000706DD"/>
    <w:rsid w:val="0007080F"/>
    <w:rsid w:val="000715F5"/>
    <w:rsid w:val="00071C56"/>
    <w:rsid w:val="00071CC0"/>
    <w:rsid w:val="00072ECC"/>
    <w:rsid w:val="00073282"/>
    <w:rsid w:val="000736F2"/>
    <w:rsid w:val="00073C8C"/>
    <w:rsid w:val="00075721"/>
    <w:rsid w:val="00077B64"/>
    <w:rsid w:val="00077D74"/>
    <w:rsid w:val="00080A1C"/>
    <w:rsid w:val="00081A65"/>
    <w:rsid w:val="00081A76"/>
    <w:rsid w:val="00081D79"/>
    <w:rsid w:val="00081E12"/>
    <w:rsid w:val="00082317"/>
    <w:rsid w:val="00082D4E"/>
    <w:rsid w:val="00083C0D"/>
    <w:rsid w:val="00083D2C"/>
    <w:rsid w:val="00085A3F"/>
    <w:rsid w:val="000865C9"/>
    <w:rsid w:val="00086899"/>
    <w:rsid w:val="00086AA1"/>
    <w:rsid w:val="0008755A"/>
    <w:rsid w:val="000877AB"/>
    <w:rsid w:val="00087A77"/>
    <w:rsid w:val="00090AE4"/>
    <w:rsid w:val="00090CA6"/>
    <w:rsid w:val="00090CF1"/>
    <w:rsid w:val="000910C6"/>
    <w:rsid w:val="00091126"/>
    <w:rsid w:val="0009218D"/>
    <w:rsid w:val="00092B8A"/>
    <w:rsid w:val="00092FB0"/>
    <w:rsid w:val="000934C5"/>
    <w:rsid w:val="000937B7"/>
    <w:rsid w:val="000939B9"/>
    <w:rsid w:val="00093C8E"/>
    <w:rsid w:val="00093D25"/>
    <w:rsid w:val="00093DAB"/>
    <w:rsid w:val="00094D60"/>
    <w:rsid w:val="00094D73"/>
    <w:rsid w:val="0009586E"/>
    <w:rsid w:val="00096D63"/>
    <w:rsid w:val="000A0715"/>
    <w:rsid w:val="000A0B60"/>
    <w:rsid w:val="000A0E11"/>
    <w:rsid w:val="000A0EB8"/>
    <w:rsid w:val="000A19FC"/>
    <w:rsid w:val="000A296B"/>
    <w:rsid w:val="000A5D6B"/>
    <w:rsid w:val="000A62F4"/>
    <w:rsid w:val="000A67BE"/>
    <w:rsid w:val="000A7311"/>
    <w:rsid w:val="000B060F"/>
    <w:rsid w:val="000B0B7C"/>
    <w:rsid w:val="000B1592"/>
    <w:rsid w:val="000B1FF2"/>
    <w:rsid w:val="000B3CDA"/>
    <w:rsid w:val="000B3D09"/>
    <w:rsid w:val="000B5B57"/>
    <w:rsid w:val="000B6115"/>
    <w:rsid w:val="000B6A0B"/>
    <w:rsid w:val="000C05F9"/>
    <w:rsid w:val="000C0ADF"/>
    <w:rsid w:val="000C0B24"/>
    <w:rsid w:val="000C0CBD"/>
    <w:rsid w:val="000C0F6C"/>
    <w:rsid w:val="000C11DB"/>
    <w:rsid w:val="000C1492"/>
    <w:rsid w:val="000C2FBD"/>
    <w:rsid w:val="000C4B41"/>
    <w:rsid w:val="000C523D"/>
    <w:rsid w:val="000C57D6"/>
    <w:rsid w:val="000C58AE"/>
    <w:rsid w:val="000C6362"/>
    <w:rsid w:val="000C69EE"/>
    <w:rsid w:val="000C7666"/>
    <w:rsid w:val="000D0526"/>
    <w:rsid w:val="000D0A9C"/>
    <w:rsid w:val="000D1752"/>
    <w:rsid w:val="000D1795"/>
    <w:rsid w:val="000D2BBB"/>
    <w:rsid w:val="000D2C96"/>
    <w:rsid w:val="000D2D1D"/>
    <w:rsid w:val="000D329A"/>
    <w:rsid w:val="000D4B9C"/>
    <w:rsid w:val="000D4EB6"/>
    <w:rsid w:val="000D753B"/>
    <w:rsid w:val="000D77FF"/>
    <w:rsid w:val="000E151E"/>
    <w:rsid w:val="000E1AC8"/>
    <w:rsid w:val="000E4C9E"/>
    <w:rsid w:val="000E6FD7"/>
    <w:rsid w:val="000E76D8"/>
    <w:rsid w:val="000E7F5D"/>
    <w:rsid w:val="000F06E1"/>
    <w:rsid w:val="000F0E3C"/>
    <w:rsid w:val="000F19D5"/>
    <w:rsid w:val="000F3FF3"/>
    <w:rsid w:val="000F42EF"/>
    <w:rsid w:val="000F4AB4"/>
    <w:rsid w:val="000F4AEA"/>
    <w:rsid w:val="000F4CAE"/>
    <w:rsid w:val="000F612E"/>
    <w:rsid w:val="000F633F"/>
    <w:rsid w:val="000F67E9"/>
    <w:rsid w:val="000F6ABB"/>
    <w:rsid w:val="000F6EB4"/>
    <w:rsid w:val="000F7C03"/>
    <w:rsid w:val="00100EF3"/>
    <w:rsid w:val="00101F6D"/>
    <w:rsid w:val="0010261F"/>
    <w:rsid w:val="001029DD"/>
    <w:rsid w:val="00102F7B"/>
    <w:rsid w:val="00104926"/>
    <w:rsid w:val="00104BA9"/>
    <w:rsid w:val="00105E87"/>
    <w:rsid w:val="00112897"/>
    <w:rsid w:val="00112F28"/>
    <w:rsid w:val="001137B5"/>
    <w:rsid w:val="00113B1E"/>
    <w:rsid w:val="0011711C"/>
    <w:rsid w:val="0012059C"/>
    <w:rsid w:val="001208A6"/>
    <w:rsid w:val="00121D68"/>
    <w:rsid w:val="00122ABE"/>
    <w:rsid w:val="00123893"/>
    <w:rsid w:val="00124324"/>
    <w:rsid w:val="001247A7"/>
    <w:rsid w:val="00124E14"/>
    <w:rsid w:val="00124E4F"/>
    <w:rsid w:val="001260B7"/>
    <w:rsid w:val="001265CB"/>
    <w:rsid w:val="00126BE2"/>
    <w:rsid w:val="00127951"/>
    <w:rsid w:val="001305B1"/>
    <w:rsid w:val="00131485"/>
    <w:rsid w:val="00131D75"/>
    <w:rsid w:val="001321C6"/>
    <w:rsid w:val="001325C4"/>
    <w:rsid w:val="001326EF"/>
    <w:rsid w:val="00133010"/>
    <w:rsid w:val="001338EE"/>
    <w:rsid w:val="00133AAE"/>
    <w:rsid w:val="00133CFD"/>
    <w:rsid w:val="00133FAA"/>
    <w:rsid w:val="0013424E"/>
    <w:rsid w:val="00135178"/>
    <w:rsid w:val="00135323"/>
    <w:rsid w:val="0013547A"/>
    <w:rsid w:val="001356C4"/>
    <w:rsid w:val="00136285"/>
    <w:rsid w:val="0013678D"/>
    <w:rsid w:val="00136A4E"/>
    <w:rsid w:val="00141114"/>
    <w:rsid w:val="00141473"/>
    <w:rsid w:val="001426F6"/>
    <w:rsid w:val="00142969"/>
    <w:rsid w:val="00142CCF"/>
    <w:rsid w:val="00142D31"/>
    <w:rsid w:val="00143E3B"/>
    <w:rsid w:val="0014425F"/>
    <w:rsid w:val="001446C2"/>
    <w:rsid w:val="00144B21"/>
    <w:rsid w:val="00144FE7"/>
    <w:rsid w:val="001457E7"/>
    <w:rsid w:val="00145CFF"/>
    <w:rsid w:val="00145D9D"/>
    <w:rsid w:val="00146388"/>
    <w:rsid w:val="00147F5F"/>
    <w:rsid w:val="00150089"/>
    <w:rsid w:val="001529E5"/>
    <w:rsid w:val="00153574"/>
    <w:rsid w:val="00153C7E"/>
    <w:rsid w:val="00156B25"/>
    <w:rsid w:val="00156E1A"/>
    <w:rsid w:val="00157894"/>
    <w:rsid w:val="00157B55"/>
    <w:rsid w:val="00161D3D"/>
    <w:rsid w:val="00162004"/>
    <w:rsid w:val="0016248A"/>
    <w:rsid w:val="00162670"/>
    <w:rsid w:val="00162AB8"/>
    <w:rsid w:val="001642FA"/>
    <w:rsid w:val="001649EB"/>
    <w:rsid w:val="00164BAF"/>
    <w:rsid w:val="00164D58"/>
    <w:rsid w:val="00164D62"/>
    <w:rsid w:val="00164FA8"/>
    <w:rsid w:val="00165065"/>
    <w:rsid w:val="00165434"/>
    <w:rsid w:val="0016580B"/>
    <w:rsid w:val="00165AE2"/>
    <w:rsid w:val="00165F49"/>
    <w:rsid w:val="00166B88"/>
    <w:rsid w:val="00167332"/>
    <w:rsid w:val="0016770A"/>
    <w:rsid w:val="00167CC1"/>
    <w:rsid w:val="0017000B"/>
    <w:rsid w:val="00170804"/>
    <w:rsid w:val="001708E9"/>
    <w:rsid w:val="00170C2D"/>
    <w:rsid w:val="00170CE1"/>
    <w:rsid w:val="00170EBD"/>
    <w:rsid w:val="0017340B"/>
    <w:rsid w:val="00173FB1"/>
    <w:rsid w:val="00175A4A"/>
    <w:rsid w:val="001765FA"/>
    <w:rsid w:val="00176A1C"/>
    <w:rsid w:val="00176DFD"/>
    <w:rsid w:val="0018043B"/>
    <w:rsid w:val="0018068D"/>
    <w:rsid w:val="0018217A"/>
    <w:rsid w:val="00182ECA"/>
    <w:rsid w:val="001852C9"/>
    <w:rsid w:val="00190087"/>
    <w:rsid w:val="00190B21"/>
    <w:rsid w:val="001913C4"/>
    <w:rsid w:val="0019175C"/>
    <w:rsid w:val="00191F54"/>
    <w:rsid w:val="001922EF"/>
    <w:rsid w:val="00192547"/>
    <w:rsid w:val="00192D6B"/>
    <w:rsid w:val="00192DDF"/>
    <w:rsid w:val="0019348F"/>
    <w:rsid w:val="00193A07"/>
    <w:rsid w:val="0019473B"/>
    <w:rsid w:val="00194C95"/>
    <w:rsid w:val="00194CCF"/>
    <w:rsid w:val="00195343"/>
    <w:rsid w:val="001958C2"/>
    <w:rsid w:val="00195C34"/>
    <w:rsid w:val="00196179"/>
    <w:rsid w:val="001964AD"/>
    <w:rsid w:val="00196EF5"/>
    <w:rsid w:val="001A015D"/>
    <w:rsid w:val="001A1A53"/>
    <w:rsid w:val="001A234A"/>
    <w:rsid w:val="001A2DDE"/>
    <w:rsid w:val="001A410A"/>
    <w:rsid w:val="001A4CF3"/>
    <w:rsid w:val="001B06E8"/>
    <w:rsid w:val="001B0AF5"/>
    <w:rsid w:val="001B132D"/>
    <w:rsid w:val="001B1673"/>
    <w:rsid w:val="001B16D7"/>
    <w:rsid w:val="001B2799"/>
    <w:rsid w:val="001B2E04"/>
    <w:rsid w:val="001B2ED7"/>
    <w:rsid w:val="001B32B0"/>
    <w:rsid w:val="001B445B"/>
    <w:rsid w:val="001B4B1F"/>
    <w:rsid w:val="001B4B34"/>
    <w:rsid w:val="001B6DB0"/>
    <w:rsid w:val="001B71D0"/>
    <w:rsid w:val="001B71EE"/>
    <w:rsid w:val="001B745F"/>
    <w:rsid w:val="001C04A8"/>
    <w:rsid w:val="001C0CD9"/>
    <w:rsid w:val="001C2C03"/>
    <w:rsid w:val="001C30C1"/>
    <w:rsid w:val="001C3170"/>
    <w:rsid w:val="001C3329"/>
    <w:rsid w:val="001C42F7"/>
    <w:rsid w:val="001C49E5"/>
    <w:rsid w:val="001C4CA1"/>
    <w:rsid w:val="001C56CC"/>
    <w:rsid w:val="001C5A95"/>
    <w:rsid w:val="001C6168"/>
    <w:rsid w:val="001C680C"/>
    <w:rsid w:val="001C6C7D"/>
    <w:rsid w:val="001C769E"/>
    <w:rsid w:val="001C7FEA"/>
    <w:rsid w:val="001D0499"/>
    <w:rsid w:val="001D0BBE"/>
    <w:rsid w:val="001D0ED4"/>
    <w:rsid w:val="001D1C63"/>
    <w:rsid w:val="001D212F"/>
    <w:rsid w:val="001D23D3"/>
    <w:rsid w:val="001D29D7"/>
    <w:rsid w:val="001D2DE7"/>
    <w:rsid w:val="001D411C"/>
    <w:rsid w:val="001D5248"/>
    <w:rsid w:val="001D5A30"/>
    <w:rsid w:val="001D5FBF"/>
    <w:rsid w:val="001D6628"/>
    <w:rsid w:val="001D6873"/>
    <w:rsid w:val="001D7A7F"/>
    <w:rsid w:val="001E0D00"/>
    <w:rsid w:val="001E0EFA"/>
    <w:rsid w:val="001E10B8"/>
    <w:rsid w:val="001E1B6A"/>
    <w:rsid w:val="001E1F08"/>
    <w:rsid w:val="001E2484"/>
    <w:rsid w:val="001E2CCE"/>
    <w:rsid w:val="001E3103"/>
    <w:rsid w:val="001E3152"/>
    <w:rsid w:val="001E3CC4"/>
    <w:rsid w:val="001E3DF4"/>
    <w:rsid w:val="001E3E5D"/>
    <w:rsid w:val="001E4882"/>
    <w:rsid w:val="001E56B9"/>
    <w:rsid w:val="001E614B"/>
    <w:rsid w:val="001E73AB"/>
    <w:rsid w:val="001F092D"/>
    <w:rsid w:val="001F143A"/>
    <w:rsid w:val="001F148A"/>
    <w:rsid w:val="001F1605"/>
    <w:rsid w:val="001F244F"/>
    <w:rsid w:val="001F2508"/>
    <w:rsid w:val="001F4816"/>
    <w:rsid w:val="001F4EE9"/>
    <w:rsid w:val="001F4EF8"/>
    <w:rsid w:val="001F51D7"/>
    <w:rsid w:val="001F69B4"/>
    <w:rsid w:val="001F77C7"/>
    <w:rsid w:val="001F7E35"/>
    <w:rsid w:val="00200183"/>
    <w:rsid w:val="00200333"/>
    <w:rsid w:val="00200474"/>
    <w:rsid w:val="00200931"/>
    <w:rsid w:val="00200B79"/>
    <w:rsid w:val="0020107D"/>
    <w:rsid w:val="00201309"/>
    <w:rsid w:val="00201DF6"/>
    <w:rsid w:val="00202400"/>
    <w:rsid w:val="00202AA4"/>
    <w:rsid w:val="002031F7"/>
    <w:rsid w:val="002040E6"/>
    <w:rsid w:val="00204EB1"/>
    <w:rsid w:val="0020518A"/>
    <w:rsid w:val="0020527B"/>
    <w:rsid w:val="00205F2C"/>
    <w:rsid w:val="00206364"/>
    <w:rsid w:val="00210B15"/>
    <w:rsid w:val="00210BAD"/>
    <w:rsid w:val="00211B06"/>
    <w:rsid w:val="0021224C"/>
    <w:rsid w:val="00213727"/>
    <w:rsid w:val="002142EA"/>
    <w:rsid w:val="0021680C"/>
    <w:rsid w:val="00217C9B"/>
    <w:rsid w:val="002204BB"/>
    <w:rsid w:val="00221067"/>
    <w:rsid w:val="00221563"/>
    <w:rsid w:val="00221A8A"/>
    <w:rsid w:val="00221B79"/>
    <w:rsid w:val="00221C6B"/>
    <w:rsid w:val="002224DD"/>
    <w:rsid w:val="00223393"/>
    <w:rsid w:val="00224E35"/>
    <w:rsid w:val="0022521E"/>
    <w:rsid w:val="002253A1"/>
    <w:rsid w:val="00225CF8"/>
    <w:rsid w:val="002262AA"/>
    <w:rsid w:val="0022794E"/>
    <w:rsid w:val="00230AAA"/>
    <w:rsid w:val="00232841"/>
    <w:rsid w:val="00233D64"/>
    <w:rsid w:val="00233E4A"/>
    <w:rsid w:val="0023482A"/>
    <w:rsid w:val="00235921"/>
    <w:rsid w:val="002359CB"/>
    <w:rsid w:val="00236E10"/>
    <w:rsid w:val="00237A1A"/>
    <w:rsid w:val="00240A05"/>
    <w:rsid w:val="00242B1C"/>
    <w:rsid w:val="0024331F"/>
    <w:rsid w:val="00243540"/>
    <w:rsid w:val="002440CF"/>
    <w:rsid w:val="0024477C"/>
    <w:rsid w:val="0024478E"/>
    <w:rsid w:val="0024497B"/>
    <w:rsid w:val="0024515B"/>
    <w:rsid w:val="0024532A"/>
    <w:rsid w:val="00246021"/>
    <w:rsid w:val="0024666E"/>
    <w:rsid w:val="00247394"/>
    <w:rsid w:val="002474DB"/>
    <w:rsid w:val="00247F52"/>
    <w:rsid w:val="00250B25"/>
    <w:rsid w:val="00250BBE"/>
    <w:rsid w:val="002515C2"/>
    <w:rsid w:val="0025194F"/>
    <w:rsid w:val="00251B7C"/>
    <w:rsid w:val="002520E3"/>
    <w:rsid w:val="00254A53"/>
    <w:rsid w:val="00254B4C"/>
    <w:rsid w:val="0025655D"/>
    <w:rsid w:val="00256AC3"/>
    <w:rsid w:val="00256BA9"/>
    <w:rsid w:val="002576AB"/>
    <w:rsid w:val="00257CD1"/>
    <w:rsid w:val="0026030B"/>
    <w:rsid w:val="002613F6"/>
    <w:rsid w:val="0026148A"/>
    <w:rsid w:val="002620FE"/>
    <w:rsid w:val="00262696"/>
    <w:rsid w:val="00263AA3"/>
    <w:rsid w:val="00263AAB"/>
    <w:rsid w:val="00263D25"/>
    <w:rsid w:val="00263E09"/>
    <w:rsid w:val="002643C3"/>
    <w:rsid w:val="00264502"/>
    <w:rsid w:val="00264A0C"/>
    <w:rsid w:val="00266BE4"/>
    <w:rsid w:val="00266CA3"/>
    <w:rsid w:val="00266EEB"/>
    <w:rsid w:val="00267A95"/>
    <w:rsid w:val="00267CC3"/>
    <w:rsid w:val="00267EF4"/>
    <w:rsid w:val="0027065A"/>
    <w:rsid w:val="00270CB8"/>
    <w:rsid w:val="00271B15"/>
    <w:rsid w:val="00272259"/>
    <w:rsid w:val="00272B08"/>
    <w:rsid w:val="00272B2E"/>
    <w:rsid w:val="00273897"/>
    <w:rsid w:val="002744EE"/>
    <w:rsid w:val="00274E02"/>
    <w:rsid w:val="002756C5"/>
    <w:rsid w:val="002767E9"/>
    <w:rsid w:val="002771AC"/>
    <w:rsid w:val="00277C55"/>
    <w:rsid w:val="00280172"/>
    <w:rsid w:val="00280C4D"/>
    <w:rsid w:val="00281077"/>
    <w:rsid w:val="0028154B"/>
    <w:rsid w:val="002818B9"/>
    <w:rsid w:val="00281BB8"/>
    <w:rsid w:val="00281E9E"/>
    <w:rsid w:val="00282099"/>
    <w:rsid w:val="00282405"/>
    <w:rsid w:val="00282C5C"/>
    <w:rsid w:val="00282F08"/>
    <w:rsid w:val="0028373B"/>
    <w:rsid w:val="0028450D"/>
    <w:rsid w:val="00284C5C"/>
    <w:rsid w:val="00285170"/>
    <w:rsid w:val="00285361"/>
    <w:rsid w:val="00285570"/>
    <w:rsid w:val="00285E2A"/>
    <w:rsid w:val="00290DD4"/>
    <w:rsid w:val="002920C7"/>
    <w:rsid w:val="002925D6"/>
    <w:rsid w:val="002926A9"/>
    <w:rsid w:val="00292B54"/>
    <w:rsid w:val="00292D60"/>
    <w:rsid w:val="00293081"/>
    <w:rsid w:val="00293428"/>
    <w:rsid w:val="00293B30"/>
    <w:rsid w:val="00294264"/>
    <w:rsid w:val="002944BF"/>
    <w:rsid w:val="00294711"/>
    <w:rsid w:val="00294D34"/>
    <w:rsid w:val="00294E3B"/>
    <w:rsid w:val="00294E56"/>
    <w:rsid w:val="0029561C"/>
    <w:rsid w:val="0029595B"/>
    <w:rsid w:val="00296193"/>
    <w:rsid w:val="00296C66"/>
    <w:rsid w:val="00296EBE"/>
    <w:rsid w:val="002974E3"/>
    <w:rsid w:val="00297CF4"/>
    <w:rsid w:val="002A0089"/>
    <w:rsid w:val="002A0431"/>
    <w:rsid w:val="002A084B"/>
    <w:rsid w:val="002A1260"/>
    <w:rsid w:val="002A1589"/>
    <w:rsid w:val="002A1608"/>
    <w:rsid w:val="002A18CE"/>
    <w:rsid w:val="002A25DC"/>
    <w:rsid w:val="002A2C40"/>
    <w:rsid w:val="002A37B2"/>
    <w:rsid w:val="002A3AAB"/>
    <w:rsid w:val="002A4CEA"/>
    <w:rsid w:val="002A4E19"/>
    <w:rsid w:val="002A5977"/>
    <w:rsid w:val="002A5A13"/>
    <w:rsid w:val="002A6645"/>
    <w:rsid w:val="002A6968"/>
    <w:rsid w:val="002A6BC6"/>
    <w:rsid w:val="002A757F"/>
    <w:rsid w:val="002A75F7"/>
    <w:rsid w:val="002A79C3"/>
    <w:rsid w:val="002A7F44"/>
    <w:rsid w:val="002B056B"/>
    <w:rsid w:val="002B0C40"/>
    <w:rsid w:val="002B1966"/>
    <w:rsid w:val="002B1E48"/>
    <w:rsid w:val="002B25E4"/>
    <w:rsid w:val="002B3C54"/>
    <w:rsid w:val="002B4241"/>
    <w:rsid w:val="002B4421"/>
    <w:rsid w:val="002B4508"/>
    <w:rsid w:val="002B5779"/>
    <w:rsid w:val="002B7332"/>
    <w:rsid w:val="002B7749"/>
    <w:rsid w:val="002B7991"/>
    <w:rsid w:val="002B7F51"/>
    <w:rsid w:val="002C09E7"/>
    <w:rsid w:val="002C0C55"/>
    <w:rsid w:val="002C0DBE"/>
    <w:rsid w:val="002C1E06"/>
    <w:rsid w:val="002C1E1C"/>
    <w:rsid w:val="002C26F0"/>
    <w:rsid w:val="002C2993"/>
    <w:rsid w:val="002C3E62"/>
    <w:rsid w:val="002C3F07"/>
    <w:rsid w:val="002C40CC"/>
    <w:rsid w:val="002C5278"/>
    <w:rsid w:val="002C7EBB"/>
    <w:rsid w:val="002D06C1"/>
    <w:rsid w:val="002D171E"/>
    <w:rsid w:val="002D2A2E"/>
    <w:rsid w:val="002D3135"/>
    <w:rsid w:val="002D399F"/>
    <w:rsid w:val="002D42B5"/>
    <w:rsid w:val="002D4F1A"/>
    <w:rsid w:val="002D6EC6"/>
    <w:rsid w:val="002D71EB"/>
    <w:rsid w:val="002D7467"/>
    <w:rsid w:val="002D7836"/>
    <w:rsid w:val="002D79AC"/>
    <w:rsid w:val="002E039D"/>
    <w:rsid w:val="002E12F5"/>
    <w:rsid w:val="002E1498"/>
    <w:rsid w:val="002E22C7"/>
    <w:rsid w:val="002E33EB"/>
    <w:rsid w:val="002E36B3"/>
    <w:rsid w:val="002E4D5A"/>
    <w:rsid w:val="002E5FD0"/>
    <w:rsid w:val="002E6326"/>
    <w:rsid w:val="002E6B63"/>
    <w:rsid w:val="002E6B73"/>
    <w:rsid w:val="002F2491"/>
    <w:rsid w:val="002F30E0"/>
    <w:rsid w:val="002F35E4"/>
    <w:rsid w:val="002F3730"/>
    <w:rsid w:val="002F38E1"/>
    <w:rsid w:val="002F3952"/>
    <w:rsid w:val="002F542B"/>
    <w:rsid w:val="002F561E"/>
    <w:rsid w:val="002F5DD8"/>
    <w:rsid w:val="002F5FF0"/>
    <w:rsid w:val="002F7AF6"/>
    <w:rsid w:val="00300994"/>
    <w:rsid w:val="00300E63"/>
    <w:rsid w:val="00301675"/>
    <w:rsid w:val="00302F5F"/>
    <w:rsid w:val="0030441D"/>
    <w:rsid w:val="003044D6"/>
    <w:rsid w:val="00305647"/>
    <w:rsid w:val="00305DB9"/>
    <w:rsid w:val="00306063"/>
    <w:rsid w:val="00306CEE"/>
    <w:rsid w:val="00307733"/>
    <w:rsid w:val="003105FC"/>
    <w:rsid w:val="00310CBB"/>
    <w:rsid w:val="00313AD4"/>
    <w:rsid w:val="00313B85"/>
    <w:rsid w:val="00314C0D"/>
    <w:rsid w:val="00315782"/>
    <w:rsid w:val="00315B41"/>
    <w:rsid w:val="0031666C"/>
    <w:rsid w:val="00316955"/>
    <w:rsid w:val="00317988"/>
    <w:rsid w:val="003221B4"/>
    <w:rsid w:val="0032258D"/>
    <w:rsid w:val="00322E62"/>
    <w:rsid w:val="003247D4"/>
    <w:rsid w:val="00324D13"/>
    <w:rsid w:val="00324D2A"/>
    <w:rsid w:val="00324E5A"/>
    <w:rsid w:val="00324EDD"/>
    <w:rsid w:val="0032580F"/>
    <w:rsid w:val="0032777F"/>
    <w:rsid w:val="0033202A"/>
    <w:rsid w:val="003322D4"/>
    <w:rsid w:val="00332A4C"/>
    <w:rsid w:val="00332D15"/>
    <w:rsid w:val="003331E4"/>
    <w:rsid w:val="00334C65"/>
    <w:rsid w:val="00336C64"/>
    <w:rsid w:val="00337162"/>
    <w:rsid w:val="003377EA"/>
    <w:rsid w:val="00337904"/>
    <w:rsid w:val="00337973"/>
    <w:rsid w:val="00337F8D"/>
    <w:rsid w:val="00340894"/>
    <w:rsid w:val="003411DA"/>
    <w:rsid w:val="0034194F"/>
    <w:rsid w:val="0034203E"/>
    <w:rsid w:val="0034304F"/>
    <w:rsid w:val="00344605"/>
    <w:rsid w:val="0034467B"/>
    <w:rsid w:val="00344FFC"/>
    <w:rsid w:val="003455D0"/>
    <w:rsid w:val="00345D74"/>
    <w:rsid w:val="00346284"/>
    <w:rsid w:val="003474AA"/>
    <w:rsid w:val="00347DC2"/>
    <w:rsid w:val="00350071"/>
    <w:rsid w:val="00350911"/>
    <w:rsid w:val="00350D1D"/>
    <w:rsid w:val="003514E1"/>
    <w:rsid w:val="00351BD7"/>
    <w:rsid w:val="00351FAD"/>
    <w:rsid w:val="00352047"/>
    <w:rsid w:val="0035270B"/>
    <w:rsid w:val="00352C83"/>
    <w:rsid w:val="00353F39"/>
    <w:rsid w:val="00354B77"/>
    <w:rsid w:val="00355035"/>
    <w:rsid w:val="003553C1"/>
    <w:rsid w:val="003556DB"/>
    <w:rsid w:val="00355F52"/>
    <w:rsid w:val="0035635B"/>
    <w:rsid w:val="0036005D"/>
    <w:rsid w:val="003615CD"/>
    <w:rsid w:val="003615D2"/>
    <w:rsid w:val="00361F6B"/>
    <w:rsid w:val="003621DF"/>
    <w:rsid w:val="00362F89"/>
    <w:rsid w:val="00362FDC"/>
    <w:rsid w:val="00363DA4"/>
    <w:rsid w:val="0036429C"/>
    <w:rsid w:val="00364A53"/>
    <w:rsid w:val="0036534E"/>
    <w:rsid w:val="0036548A"/>
    <w:rsid w:val="003654CB"/>
    <w:rsid w:val="00365AA9"/>
    <w:rsid w:val="00365E86"/>
    <w:rsid w:val="00365F86"/>
    <w:rsid w:val="00365F87"/>
    <w:rsid w:val="00366E89"/>
    <w:rsid w:val="00367289"/>
    <w:rsid w:val="003705F4"/>
    <w:rsid w:val="00370991"/>
    <w:rsid w:val="00370D58"/>
    <w:rsid w:val="00371316"/>
    <w:rsid w:val="003714AE"/>
    <w:rsid w:val="00372194"/>
    <w:rsid w:val="003724F8"/>
    <w:rsid w:val="003728DF"/>
    <w:rsid w:val="00372BDF"/>
    <w:rsid w:val="00374109"/>
    <w:rsid w:val="003760FF"/>
    <w:rsid w:val="00376713"/>
    <w:rsid w:val="00380247"/>
    <w:rsid w:val="00380EA2"/>
    <w:rsid w:val="0038143F"/>
    <w:rsid w:val="00381815"/>
    <w:rsid w:val="003819AF"/>
    <w:rsid w:val="00381AAC"/>
    <w:rsid w:val="003820E9"/>
    <w:rsid w:val="003825A4"/>
    <w:rsid w:val="00382DB1"/>
    <w:rsid w:val="00382DE7"/>
    <w:rsid w:val="00383C6B"/>
    <w:rsid w:val="0038427A"/>
    <w:rsid w:val="00384FFC"/>
    <w:rsid w:val="003857FC"/>
    <w:rsid w:val="003857FE"/>
    <w:rsid w:val="003865B3"/>
    <w:rsid w:val="003867B3"/>
    <w:rsid w:val="0038708D"/>
    <w:rsid w:val="003871AC"/>
    <w:rsid w:val="003872FC"/>
    <w:rsid w:val="00387ADC"/>
    <w:rsid w:val="00390020"/>
    <w:rsid w:val="0039007A"/>
    <w:rsid w:val="003903D6"/>
    <w:rsid w:val="003908F3"/>
    <w:rsid w:val="00390EE6"/>
    <w:rsid w:val="0039118F"/>
    <w:rsid w:val="00391407"/>
    <w:rsid w:val="003915AE"/>
    <w:rsid w:val="003927FF"/>
    <w:rsid w:val="00392AD7"/>
    <w:rsid w:val="00392CB3"/>
    <w:rsid w:val="0039311E"/>
    <w:rsid w:val="00393233"/>
    <w:rsid w:val="003933F2"/>
    <w:rsid w:val="003938D9"/>
    <w:rsid w:val="00394376"/>
    <w:rsid w:val="003943FF"/>
    <w:rsid w:val="00395700"/>
    <w:rsid w:val="00395E90"/>
    <w:rsid w:val="00396587"/>
    <w:rsid w:val="003974EB"/>
    <w:rsid w:val="00397CC5"/>
    <w:rsid w:val="003A04A8"/>
    <w:rsid w:val="003A117C"/>
    <w:rsid w:val="003A11E6"/>
    <w:rsid w:val="003A1582"/>
    <w:rsid w:val="003A2F22"/>
    <w:rsid w:val="003A3605"/>
    <w:rsid w:val="003A363B"/>
    <w:rsid w:val="003A4077"/>
    <w:rsid w:val="003A4102"/>
    <w:rsid w:val="003A4A5E"/>
    <w:rsid w:val="003A5193"/>
    <w:rsid w:val="003A565E"/>
    <w:rsid w:val="003A6AD6"/>
    <w:rsid w:val="003A722B"/>
    <w:rsid w:val="003A7964"/>
    <w:rsid w:val="003B0354"/>
    <w:rsid w:val="003B09AD"/>
    <w:rsid w:val="003B0FC2"/>
    <w:rsid w:val="003B17B7"/>
    <w:rsid w:val="003B1DEE"/>
    <w:rsid w:val="003B1F18"/>
    <w:rsid w:val="003B3A6F"/>
    <w:rsid w:val="003B401E"/>
    <w:rsid w:val="003B4083"/>
    <w:rsid w:val="003B5BF0"/>
    <w:rsid w:val="003B60BF"/>
    <w:rsid w:val="003B664D"/>
    <w:rsid w:val="003B6BE3"/>
    <w:rsid w:val="003B7591"/>
    <w:rsid w:val="003B7615"/>
    <w:rsid w:val="003C010C"/>
    <w:rsid w:val="003C01A2"/>
    <w:rsid w:val="003C0325"/>
    <w:rsid w:val="003C0A6C"/>
    <w:rsid w:val="003C0DB8"/>
    <w:rsid w:val="003C14F8"/>
    <w:rsid w:val="003C171B"/>
    <w:rsid w:val="003C1941"/>
    <w:rsid w:val="003C1DA8"/>
    <w:rsid w:val="003C2DB6"/>
    <w:rsid w:val="003C483B"/>
    <w:rsid w:val="003C49C2"/>
    <w:rsid w:val="003C5A43"/>
    <w:rsid w:val="003D0519"/>
    <w:rsid w:val="003D0FF6"/>
    <w:rsid w:val="003D109D"/>
    <w:rsid w:val="003D130E"/>
    <w:rsid w:val="003D262C"/>
    <w:rsid w:val="003D27F0"/>
    <w:rsid w:val="003D3776"/>
    <w:rsid w:val="003D56F1"/>
    <w:rsid w:val="003D6257"/>
    <w:rsid w:val="003D6D61"/>
    <w:rsid w:val="003D74FA"/>
    <w:rsid w:val="003D79C6"/>
    <w:rsid w:val="003E091D"/>
    <w:rsid w:val="003E1C53"/>
    <w:rsid w:val="003E1D3E"/>
    <w:rsid w:val="003E293F"/>
    <w:rsid w:val="003E2A69"/>
    <w:rsid w:val="003E2D49"/>
    <w:rsid w:val="003E2FD4"/>
    <w:rsid w:val="003E36AB"/>
    <w:rsid w:val="003E3766"/>
    <w:rsid w:val="003E39A5"/>
    <w:rsid w:val="003E415E"/>
    <w:rsid w:val="003E49F6"/>
    <w:rsid w:val="003E660F"/>
    <w:rsid w:val="003E6C1E"/>
    <w:rsid w:val="003E73CE"/>
    <w:rsid w:val="003F0818"/>
    <w:rsid w:val="003F0841"/>
    <w:rsid w:val="003F23D3"/>
    <w:rsid w:val="003F2508"/>
    <w:rsid w:val="003F28D6"/>
    <w:rsid w:val="003F3454"/>
    <w:rsid w:val="003F3602"/>
    <w:rsid w:val="003F3F08"/>
    <w:rsid w:val="003F49F1"/>
    <w:rsid w:val="003F4BA2"/>
    <w:rsid w:val="003F584B"/>
    <w:rsid w:val="003F6207"/>
    <w:rsid w:val="003F6272"/>
    <w:rsid w:val="003F7A70"/>
    <w:rsid w:val="003F7C3E"/>
    <w:rsid w:val="00400A40"/>
    <w:rsid w:val="00400C58"/>
    <w:rsid w:val="00400E72"/>
    <w:rsid w:val="00401400"/>
    <w:rsid w:val="00401927"/>
    <w:rsid w:val="004028EE"/>
    <w:rsid w:val="00402FDF"/>
    <w:rsid w:val="0040367E"/>
    <w:rsid w:val="00403B94"/>
    <w:rsid w:val="00403DCF"/>
    <w:rsid w:val="0040456E"/>
    <w:rsid w:val="00404869"/>
    <w:rsid w:val="00405068"/>
    <w:rsid w:val="00405884"/>
    <w:rsid w:val="00407D39"/>
    <w:rsid w:val="00412B83"/>
    <w:rsid w:val="00414438"/>
    <w:rsid w:val="0041477A"/>
    <w:rsid w:val="00415703"/>
    <w:rsid w:val="0041592D"/>
    <w:rsid w:val="004167A3"/>
    <w:rsid w:val="0041777C"/>
    <w:rsid w:val="00417B62"/>
    <w:rsid w:val="0042249F"/>
    <w:rsid w:val="004224D9"/>
    <w:rsid w:val="004252A2"/>
    <w:rsid w:val="00425C0B"/>
    <w:rsid w:val="00430444"/>
    <w:rsid w:val="00430EDF"/>
    <w:rsid w:val="0043124C"/>
    <w:rsid w:val="00431351"/>
    <w:rsid w:val="0043196A"/>
    <w:rsid w:val="00432DAA"/>
    <w:rsid w:val="00432FE6"/>
    <w:rsid w:val="00433CFF"/>
    <w:rsid w:val="00434305"/>
    <w:rsid w:val="00434516"/>
    <w:rsid w:val="004346B3"/>
    <w:rsid w:val="0043483E"/>
    <w:rsid w:val="004355F3"/>
    <w:rsid w:val="00435DF7"/>
    <w:rsid w:val="004360A5"/>
    <w:rsid w:val="0044026A"/>
    <w:rsid w:val="00440359"/>
    <w:rsid w:val="00440464"/>
    <w:rsid w:val="0044083F"/>
    <w:rsid w:val="004418AC"/>
    <w:rsid w:val="00441AE7"/>
    <w:rsid w:val="00441B28"/>
    <w:rsid w:val="00444673"/>
    <w:rsid w:val="00444BCB"/>
    <w:rsid w:val="00445326"/>
    <w:rsid w:val="00445574"/>
    <w:rsid w:val="004467FB"/>
    <w:rsid w:val="0045184A"/>
    <w:rsid w:val="00452D6B"/>
    <w:rsid w:val="00454484"/>
    <w:rsid w:val="0045517B"/>
    <w:rsid w:val="00456060"/>
    <w:rsid w:val="00456806"/>
    <w:rsid w:val="00460677"/>
    <w:rsid w:val="00460D9C"/>
    <w:rsid w:val="00460E4F"/>
    <w:rsid w:val="0046209B"/>
    <w:rsid w:val="00463B77"/>
    <w:rsid w:val="00463C7B"/>
    <w:rsid w:val="004644A6"/>
    <w:rsid w:val="00464C00"/>
    <w:rsid w:val="004659BD"/>
    <w:rsid w:val="00466B69"/>
    <w:rsid w:val="004671EA"/>
    <w:rsid w:val="00470775"/>
    <w:rsid w:val="0047274C"/>
    <w:rsid w:val="00473447"/>
    <w:rsid w:val="004735E9"/>
    <w:rsid w:val="00474054"/>
    <w:rsid w:val="004746B1"/>
    <w:rsid w:val="00475816"/>
    <w:rsid w:val="0047583F"/>
    <w:rsid w:val="00475983"/>
    <w:rsid w:val="00475DE8"/>
    <w:rsid w:val="004763F8"/>
    <w:rsid w:val="0047690F"/>
    <w:rsid w:val="004818B6"/>
    <w:rsid w:val="00481C44"/>
    <w:rsid w:val="00484936"/>
    <w:rsid w:val="0048533A"/>
    <w:rsid w:val="00485C89"/>
    <w:rsid w:val="00486038"/>
    <w:rsid w:val="00486BE3"/>
    <w:rsid w:val="00487212"/>
    <w:rsid w:val="00487A46"/>
    <w:rsid w:val="00487D9F"/>
    <w:rsid w:val="004905E4"/>
    <w:rsid w:val="00490656"/>
    <w:rsid w:val="00490A89"/>
    <w:rsid w:val="00490AB4"/>
    <w:rsid w:val="00491B72"/>
    <w:rsid w:val="00491CF0"/>
    <w:rsid w:val="00491F17"/>
    <w:rsid w:val="00492362"/>
    <w:rsid w:val="00492EFF"/>
    <w:rsid w:val="00492F02"/>
    <w:rsid w:val="004935F7"/>
    <w:rsid w:val="004939AE"/>
    <w:rsid w:val="00493ACC"/>
    <w:rsid w:val="00494816"/>
    <w:rsid w:val="00494E7C"/>
    <w:rsid w:val="004953A8"/>
    <w:rsid w:val="00497096"/>
    <w:rsid w:val="00497941"/>
    <w:rsid w:val="00497AD5"/>
    <w:rsid w:val="004A0447"/>
    <w:rsid w:val="004A0DFE"/>
    <w:rsid w:val="004A0F6C"/>
    <w:rsid w:val="004A12DF"/>
    <w:rsid w:val="004A17E6"/>
    <w:rsid w:val="004A1AEA"/>
    <w:rsid w:val="004A1BA8"/>
    <w:rsid w:val="004A3B11"/>
    <w:rsid w:val="004A4186"/>
    <w:rsid w:val="004A4836"/>
    <w:rsid w:val="004A4B57"/>
    <w:rsid w:val="004A63FA"/>
    <w:rsid w:val="004A7388"/>
    <w:rsid w:val="004A76F1"/>
    <w:rsid w:val="004B0272"/>
    <w:rsid w:val="004B1545"/>
    <w:rsid w:val="004B2701"/>
    <w:rsid w:val="004B2E1B"/>
    <w:rsid w:val="004B3AA8"/>
    <w:rsid w:val="004B3E93"/>
    <w:rsid w:val="004B48C1"/>
    <w:rsid w:val="004B530A"/>
    <w:rsid w:val="004B77B9"/>
    <w:rsid w:val="004B7C1A"/>
    <w:rsid w:val="004C0144"/>
    <w:rsid w:val="004C0BA0"/>
    <w:rsid w:val="004C1FBC"/>
    <w:rsid w:val="004C2068"/>
    <w:rsid w:val="004C22B2"/>
    <w:rsid w:val="004C3F1D"/>
    <w:rsid w:val="004C458D"/>
    <w:rsid w:val="004C5E7F"/>
    <w:rsid w:val="004C6667"/>
    <w:rsid w:val="004C66FC"/>
    <w:rsid w:val="004C6ADB"/>
    <w:rsid w:val="004C6BC3"/>
    <w:rsid w:val="004C7470"/>
    <w:rsid w:val="004C7556"/>
    <w:rsid w:val="004C7D35"/>
    <w:rsid w:val="004C7E8B"/>
    <w:rsid w:val="004C7E9D"/>
    <w:rsid w:val="004C7F67"/>
    <w:rsid w:val="004D0028"/>
    <w:rsid w:val="004D0741"/>
    <w:rsid w:val="004D076D"/>
    <w:rsid w:val="004D0DEA"/>
    <w:rsid w:val="004D0EF1"/>
    <w:rsid w:val="004D1D73"/>
    <w:rsid w:val="004D2253"/>
    <w:rsid w:val="004D228F"/>
    <w:rsid w:val="004D36EA"/>
    <w:rsid w:val="004D4406"/>
    <w:rsid w:val="004D44D2"/>
    <w:rsid w:val="004D5BA3"/>
    <w:rsid w:val="004D7C42"/>
    <w:rsid w:val="004D7CA0"/>
    <w:rsid w:val="004E0465"/>
    <w:rsid w:val="004E127B"/>
    <w:rsid w:val="004E1C0A"/>
    <w:rsid w:val="004E24E4"/>
    <w:rsid w:val="004E2B06"/>
    <w:rsid w:val="004E306B"/>
    <w:rsid w:val="004E30C5"/>
    <w:rsid w:val="004E34B3"/>
    <w:rsid w:val="004E4646"/>
    <w:rsid w:val="004E4AA5"/>
    <w:rsid w:val="004E4AEE"/>
    <w:rsid w:val="004E59E3"/>
    <w:rsid w:val="004E67C0"/>
    <w:rsid w:val="004E7C81"/>
    <w:rsid w:val="004F02B5"/>
    <w:rsid w:val="004F0A67"/>
    <w:rsid w:val="004F31A6"/>
    <w:rsid w:val="004F391A"/>
    <w:rsid w:val="004F3CFB"/>
    <w:rsid w:val="004F40E2"/>
    <w:rsid w:val="004F4B41"/>
    <w:rsid w:val="004F5984"/>
    <w:rsid w:val="004F6456"/>
    <w:rsid w:val="004F696E"/>
    <w:rsid w:val="004F6C71"/>
    <w:rsid w:val="004F6F52"/>
    <w:rsid w:val="004F6F73"/>
    <w:rsid w:val="00501139"/>
    <w:rsid w:val="0050363E"/>
    <w:rsid w:val="005038F7"/>
    <w:rsid w:val="005039BC"/>
    <w:rsid w:val="005043BB"/>
    <w:rsid w:val="00504445"/>
    <w:rsid w:val="00504757"/>
    <w:rsid w:val="0050475F"/>
    <w:rsid w:val="00504A3D"/>
    <w:rsid w:val="00504EFF"/>
    <w:rsid w:val="00505767"/>
    <w:rsid w:val="00506938"/>
    <w:rsid w:val="00506F26"/>
    <w:rsid w:val="005073F0"/>
    <w:rsid w:val="00507506"/>
    <w:rsid w:val="00510A7B"/>
    <w:rsid w:val="005113C6"/>
    <w:rsid w:val="00511F27"/>
    <w:rsid w:val="00512F6E"/>
    <w:rsid w:val="00513038"/>
    <w:rsid w:val="00513BAC"/>
    <w:rsid w:val="00513E69"/>
    <w:rsid w:val="00514174"/>
    <w:rsid w:val="0051464A"/>
    <w:rsid w:val="00515FEC"/>
    <w:rsid w:val="00516088"/>
    <w:rsid w:val="005162E8"/>
    <w:rsid w:val="0051677C"/>
    <w:rsid w:val="00516B0B"/>
    <w:rsid w:val="00516FAF"/>
    <w:rsid w:val="00517D05"/>
    <w:rsid w:val="00517E54"/>
    <w:rsid w:val="00517F02"/>
    <w:rsid w:val="0052122C"/>
    <w:rsid w:val="005220EC"/>
    <w:rsid w:val="0052268A"/>
    <w:rsid w:val="00522853"/>
    <w:rsid w:val="00523F95"/>
    <w:rsid w:val="00524B02"/>
    <w:rsid w:val="00524D65"/>
    <w:rsid w:val="00525AE5"/>
    <w:rsid w:val="00525B16"/>
    <w:rsid w:val="00525B41"/>
    <w:rsid w:val="005267F8"/>
    <w:rsid w:val="0052697D"/>
    <w:rsid w:val="0052737D"/>
    <w:rsid w:val="0052760E"/>
    <w:rsid w:val="00533D04"/>
    <w:rsid w:val="00533E79"/>
    <w:rsid w:val="00534804"/>
    <w:rsid w:val="0053498D"/>
    <w:rsid w:val="00534BDF"/>
    <w:rsid w:val="0053508B"/>
    <w:rsid w:val="005354EA"/>
    <w:rsid w:val="0053585F"/>
    <w:rsid w:val="00535EC4"/>
    <w:rsid w:val="00535ED6"/>
    <w:rsid w:val="00535ED9"/>
    <w:rsid w:val="0053692B"/>
    <w:rsid w:val="00536B73"/>
    <w:rsid w:val="00540F9E"/>
    <w:rsid w:val="00541140"/>
    <w:rsid w:val="0054176C"/>
    <w:rsid w:val="00541853"/>
    <w:rsid w:val="00541927"/>
    <w:rsid w:val="005425C7"/>
    <w:rsid w:val="00542B9A"/>
    <w:rsid w:val="00543665"/>
    <w:rsid w:val="00543BDA"/>
    <w:rsid w:val="005441CC"/>
    <w:rsid w:val="005454B2"/>
    <w:rsid w:val="00546576"/>
    <w:rsid w:val="005479DA"/>
    <w:rsid w:val="00547BCC"/>
    <w:rsid w:val="0055013B"/>
    <w:rsid w:val="00550FB2"/>
    <w:rsid w:val="00551F6F"/>
    <w:rsid w:val="0055256B"/>
    <w:rsid w:val="00553AE9"/>
    <w:rsid w:val="00554E23"/>
    <w:rsid w:val="00555044"/>
    <w:rsid w:val="00557842"/>
    <w:rsid w:val="00561475"/>
    <w:rsid w:val="00561BC9"/>
    <w:rsid w:val="00562C0A"/>
    <w:rsid w:val="00563D5B"/>
    <w:rsid w:val="00563DA6"/>
    <w:rsid w:val="00563DB1"/>
    <w:rsid w:val="00563E6E"/>
    <w:rsid w:val="0056487B"/>
    <w:rsid w:val="00564FB9"/>
    <w:rsid w:val="0056545C"/>
    <w:rsid w:val="0056573E"/>
    <w:rsid w:val="00566A66"/>
    <w:rsid w:val="00566C11"/>
    <w:rsid w:val="00567952"/>
    <w:rsid w:val="00567BB4"/>
    <w:rsid w:val="005705BC"/>
    <w:rsid w:val="00571A1E"/>
    <w:rsid w:val="00571C7B"/>
    <w:rsid w:val="00573D9E"/>
    <w:rsid w:val="0057427E"/>
    <w:rsid w:val="00574F70"/>
    <w:rsid w:val="00575DE2"/>
    <w:rsid w:val="0057642D"/>
    <w:rsid w:val="00576BB1"/>
    <w:rsid w:val="005779CB"/>
    <w:rsid w:val="005801E3"/>
    <w:rsid w:val="00580825"/>
    <w:rsid w:val="00580B0F"/>
    <w:rsid w:val="00580C68"/>
    <w:rsid w:val="0058149E"/>
    <w:rsid w:val="00581802"/>
    <w:rsid w:val="00581C76"/>
    <w:rsid w:val="00582592"/>
    <w:rsid w:val="0058308F"/>
    <w:rsid w:val="005836A8"/>
    <w:rsid w:val="0058409C"/>
    <w:rsid w:val="00584262"/>
    <w:rsid w:val="00585E18"/>
    <w:rsid w:val="00586630"/>
    <w:rsid w:val="005868AD"/>
    <w:rsid w:val="00587057"/>
    <w:rsid w:val="00587ADD"/>
    <w:rsid w:val="00591C3D"/>
    <w:rsid w:val="00591E27"/>
    <w:rsid w:val="00593F7B"/>
    <w:rsid w:val="00594F1E"/>
    <w:rsid w:val="005951C0"/>
    <w:rsid w:val="005958BE"/>
    <w:rsid w:val="00595ADB"/>
    <w:rsid w:val="00595D33"/>
    <w:rsid w:val="00596160"/>
    <w:rsid w:val="005966E2"/>
    <w:rsid w:val="00597007"/>
    <w:rsid w:val="005A04C8"/>
    <w:rsid w:val="005A0966"/>
    <w:rsid w:val="005A0EF3"/>
    <w:rsid w:val="005A11B7"/>
    <w:rsid w:val="005A1493"/>
    <w:rsid w:val="005A2182"/>
    <w:rsid w:val="005A260B"/>
    <w:rsid w:val="005A4A1B"/>
    <w:rsid w:val="005A5893"/>
    <w:rsid w:val="005A7830"/>
    <w:rsid w:val="005A7B25"/>
    <w:rsid w:val="005A7B96"/>
    <w:rsid w:val="005A7FCE"/>
    <w:rsid w:val="005B0EDF"/>
    <w:rsid w:val="005B0F3F"/>
    <w:rsid w:val="005B1414"/>
    <w:rsid w:val="005B3A1C"/>
    <w:rsid w:val="005B43FA"/>
    <w:rsid w:val="005B4903"/>
    <w:rsid w:val="005B51CE"/>
    <w:rsid w:val="005B5885"/>
    <w:rsid w:val="005B5CD7"/>
    <w:rsid w:val="005B5F59"/>
    <w:rsid w:val="005B6C85"/>
    <w:rsid w:val="005B6CF6"/>
    <w:rsid w:val="005B732E"/>
    <w:rsid w:val="005B7422"/>
    <w:rsid w:val="005B7799"/>
    <w:rsid w:val="005C24BF"/>
    <w:rsid w:val="005C29B8"/>
    <w:rsid w:val="005C3AD1"/>
    <w:rsid w:val="005C4730"/>
    <w:rsid w:val="005C4FD7"/>
    <w:rsid w:val="005C58F6"/>
    <w:rsid w:val="005C598F"/>
    <w:rsid w:val="005C5F21"/>
    <w:rsid w:val="005C7156"/>
    <w:rsid w:val="005C7C8A"/>
    <w:rsid w:val="005D0C75"/>
    <w:rsid w:val="005D1ADD"/>
    <w:rsid w:val="005D376B"/>
    <w:rsid w:val="005D4171"/>
    <w:rsid w:val="005D46C4"/>
    <w:rsid w:val="005D5D39"/>
    <w:rsid w:val="005D6A95"/>
    <w:rsid w:val="005D6B2C"/>
    <w:rsid w:val="005D6D9C"/>
    <w:rsid w:val="005E05AE"/>
    <w:rsid w:val="005E2335"/>
    <w:rsid w:val="005E23D0"/>
    <w:rsid w:val="005E265F"/>
    <w:rsid w:val="005E27BB"/>
    <w:rsid w:val="005E30CC"/>
    <w:rsid w:val="005E34CA"/>
    <w:rsid w:val="005E3B5C"/>
    <w:rsid w:val="005E3C18"/>
    <w:rsid w:val="005E413E"/>
    <w:rsid w:val="005E5155"/>
    <w:rsid w:val="005E5A7A"/>
    <w:rsid w:val="005E605F"/>
    <w:rsid w:val="005E6183"/>
    <w:rsid w:val="005E6718"/>
    <w:rsid w:val="005E6812"/>
    <w:rsid w:val="005E6E8E"/>
    <w:rsid w:val="005E7881"/>
    <w:rsid w:val="005E78E0"/>
    <w:rsid w:val="005E7AA3"/>
    <w:rsid w:val="005F0D9C"/>
    <w:rsid w:val="005F0F49"/>
    <w:rsid w:val="005F190E"/>
    <w:rsid w:val="005F284E"/>
    <w:rsid w:val="005F3F18"/>
    <w:rsid w:val="005F3F2C"/>
    <w:rsid w:val="005F4667"/>
    <w:rsid w:val="005F4712"/>
    <w:rsid w:val="005F4838"/>
    <w:rsid w:val="005F5916"/>
    <w:rsid w:val="005F5EE1"/>
    <w:rsid w:val="005F6501"/>
    <w:rsid w:val="005F69E5"/>
    <w:rsid w:val="005F6D6B"/>
    <w:rsid w:val="005F7BD9"/>
    <w:rsid w:val="006006D7"/>
    <w:rsid w:val="00600DAF"/>
    <w:rsid w:val="00600DBD"/>
    <w:rsid w:val="006015CE"/>
    <w:rsid w:val="006020FE"/>
    <w:rsid w:val="00602391"/>
    <w:rsid w:val="006030A2"/>
    <w:rsid w:val="00604784"/>
    <w:rsid w:val="006048B8"/>
    <w:rsid w:val="00604A19"/>
    <w:rsid w:val="00604E6E"/>
    <w:rsid w:val="00605858"/>
    <w:rsid w:val="00605E11"/>
    <w:rsid w:val="00606419"/>
    <w:rsid w:val="00607238"/>
    <w:rsid w:val="00607CD8"/>
    <w:rsid w:val="00607D29"/>
    <w:rsid w:val="00611BCA"/>
    <w:rsid w:val="00612941"/>
    <w:rsid w:val="00612952"/>
    <w:rsid w:val="00614CC1"/>
    <w:rsid w:val="00615A9D"/>
    <w:rsid w:val="006171F1"/>
    <w:rsid w:val="00617387"/>
    <w:rsid w:val="006205C3"/>
    <w:rsid w:val="006205D6"/>
    <w:rsid w:val="00621135"/>
    <w:rsid w:val="0062225D"/>
    <w:rsid w:val="006228DF"/>
    <w:rsid w:val="00623217"/>
    <w:rsid w:val="0062358B"/>
    <w:rsid w:val="006247FD"/>
    <w:rsid w:val="00624D89"/>
    <w:rsid w:val="006252D8"/>
    <w:rsid w:val="006255DB"/>
    <w:rsid w:val="006259BC"/>
    <w:rsid w:val="0062636B"/>
    <w:rsid w:val="006266D4"/>
    <w:rsid w:val="00626D8E"/>
    <w:rsid w:val="0063138C"/>
    <w:rsid w:val="006315F1"/>
    <w:rsid w:val="00632182"/>
    <w:rsid w:val="006324B7"/>
    <w:rsid w:val="00632AE0"/>
    <w:rsid w:val="00632FA0"/>
    <w:rsid w:val="00633280"/>
    <w:rsid w:val="00633568"/>
    <w:rsid w:val="00633C17"/>
    <w:rsid w:val="00634D9E"/>
    <w:rsid w:val="006367E1"/>
    <w:rsid w:val="00636E3E"/>
    <w:rsid w:val="00637309"/>
    <w:rsid w:val="006379F7"/>
    <w:rsid w:val="00637E4D"/>
    <w:rsid w:val="0064044D"/>
    <w:rsid w:val="00640620"/>
    <w:rsid w:val="006412DA"/>
    <w:rsid w:val="00641A1F"/>
    <w:rsid w:val="00641CCF"/>
    <w:rsid w:val="00641D13"/>
    <w:rsid w:val="0064322B"/>
    <w:rsid w:val="0064339B"/>
    <w:rsid w:val="006437E2"/>
    <w:rsid w:val="006438AD"/>
    <w:rsid w:val="006439EB"/>
    <w:rsid w:val="006445DD"/>
    <w:rsid w:val="0064476F"/>
    <w:rsid w:val="00644F94"/>
    <w:rsid w:val="00645009"/>
    <w:rsid w:val="0064520D"/>
    <w:rsid w:val="00645904"/>
    <w:rsid w:val="00646415"/>
    <w:rsid w:val="006465BA"/>
    <w:rsid w:val="00646989"/>
    <w:rsid w:val="006504D2"/>
    <w:rsid w:val="00651ACB"/>
    <w:rsid w:val="00651C47"/>
    <w:rsid w:val="00652AB2"/>
    <w:rsid w:val="00653545"/>
    <w:rsid w:val="006535EC"/>
    <w:rsid w:val="0065378D"/>
    <w:rsid w:val="00653A52"/>
    <w:rsid w:val="00653F94"/>
    <w:rsid w:val="00653FED"/>
    <w:rsid w:val="00654943"/>
    <w:rsid w:val="00654EC0"/>
    <w:rsid w:val="0065525B"/>
    <w:rsid w:val="00655489"/>
    <w:rsid w:val="00655D4F"/>
    <w:rsid w:val="00656D29"/>
    <w:rsid w:val="00660E07"/>
    <w:rsid w:val="006618E1"/>
    <w:rsid w:val="00662204"/>
    <w:rsid w:val="00662D28"/>
    <w:rsid w:val="006640E5"/>
    <w:rsid w:val="00664576"/>
    <w:rsid w:val="006646F1"/>
    <w:rsid w:val="00664929"/>
    <w:rsid w:val="00664EFA"/>
    <w:rsid w:val="00664F62"/>
    <w:rsid w:val="006655E1"/>
    <w:rsid w:val="00671F90"/>
    <w:rsid w:val="00672060"/>
    <w:rsid w:val="006722E7"/>
    <w:rsid w:val="00672BFD"/>
    <w:rsid w:val="006736E7"/>
    <w:rsid w:val="00673CB3"/>
    <w:rsid w:val="00675A66"/>
    <w:rsid w:val="006770F4"/>
    <w:rsid w:val="00677A84"/>
    <w:rsid w:val="00677C32"/>
    <w:rsid w:val="006800A2"/>
    <w:rsid w:val="0068026D"/>
    <w:rsid w:val="00680A27"/>
    <w:rsid w:val="006816A4"/>
    <w:rsid w:val="006819B8"/>
    <w:rsid w:val="006840A6"/>
    <w:rsid w:val="006850CD"/>
    <w:rsid w:val="00685145"/>
    <w:rsid w:val="0068587A"/>
    <w:rsid w:val="00685AAB"/>
    <w:rsid w:val="00685B44"/>
    <w:rsid w:val="00686D60"/>
    <w:rsid w:val="006918F4"/>
    <w:rsid w:val="00692E98"/>
    <w:rsid w:val="006942C7"/>
    <w:rsid w:val="00695C55"/>
    <w:rsid w:val="00695D22"/>
    <w:rsid w:val="00695D77"/>
    <w:rsid w:val="0069604D"/>
    <w:rsid w:val="006975A2"/>
    <w:rsid w:val="006A07AA"/>
    <w:rsid w:val="006A0B83"/>
    <w:rsid w:val="006A1689"/>
    <w:rsid w:val="006A17A1"/>
    <w:rsid w:val="006A1E8C"/>
    <w:rsid w:val="006A2251"/>
    <w:rsid w:val="006A25E5"/>
    <w:rsid w:val="006A2B46"/>
    <w:rsid w:val="006A336D"/>
    <w:rsid w:val="006A37B9"/>
    <w:rsid w:val="006A3ED0"/>
    <w:rsid w:val="006A4A38"/>
    <w:rsid w:val="006A4D95"/>
    <w:rsid w:val="006A5052"/>
    <w:rsid w:val="006A5CAD"/>
    <w:rsid w:val="006A5EB3"/>
    <w:rsid w:val="006A6703"/>
    <w:rsid w:val="006A7BDD"/>
    <w:rsid w:val="006B03B9"/>
    <w:rsid w:val="006B08F4"/>
    <w:rsid w:val="006B11BC"/>
    <w:rsid w:val="006B11D3"/>
    <w:rsid w:val="006B19F6"/>
    <w:rsid w:val="006B2672"/>
    <w:rsid w:val="006B349D"/>
    <w:rsid w:val="006B3DAF"/>
    <w:rsid w:val="006B3E25"/>
    <w:rsid w:val="006B4756"/>
    <w:rsid w:val="006B49E7"/>
    <w:rsid w:val="006B4E2E"/>
    <w:rsid w:val="006B54BF"/>
    <w:rsid w:val="006B5663"/>
    <w:rsid w:val="006B5CB0"/>
    <w:rsid w:val="006B5F44"/>
    <w:rsid w:val="006B5F90"/>
    <w:rsid w:val="006B62E4"/>
    <w:rsid w:val="006B6320"/>
    <w:rsid w:val="006B65E3"/>
    <w:rsid w:val="006B6706"/>
    <w:rsid w:val="006B7EF9"/>
    <w:rsid w:val="006C0343"/>
    <w:rsid w:val="006C083F"/>
    <w:rsid w:val="006C18C2"/>
    <w:rsid w:val="006C1BBA"/>
    <w:rsid w:val="006C2079"/>
    <w:rsid w:val="006C31DD"/>
    <w:rsid w:val="006C346B"/>
    <w:rsid w:val="006C42C3"/>
    <w:rsid w:val="006C4DA0"/>
    <w:rsid w:val="006C511B"/>
    <w:rsid w:val="006C5280"/>
    <w:rsid w:val="006C5A62"/>
    <w:rsid w:val="006C5D68"/>
    <w:rsid w:val="006C6976"/>
    <w:rsid w:val="006C6B21"/>
    <w:rsid w:val="006C6B26"/>
    <w:rsid w:val="006C6D42"/>
    <w:rsid w:val="006C6DD0"/>
    <w:rsid w:val="006C72A3"/>
    <w:rsid w:val="006D04EA"/>
    <w:rsid w:val="006D0AB7"/>
    <w:rsid w:val="006D16C4"/>
    <w:rsid w:val="006D1CE2"/>
    <w:rsid w:val="006D25AA"/>
    <w:rsid w:val="006D364D"/>
    <w:rsid w:val="006D398A"/>
    <w:rsid w:val="006D3E96"/>
    <w:rsid w:val="006D4515"/>
    <w:rsid w:val="006D46C5"/>
    <w:rsid w:val="006D4BB1"/>
    <w:rsid w:val="006D58E1"/>
    <w:rsid w:val="006D6593"/>
    <w:rsid w:val="006D6E31"/>
    <w:rsid w:val="006E1166"/>
    <w:rsid w:val="006E15C2"/>
    <w:rsid w:val="006E1DE6"/>
    <w:rsid w:val="006E23EA"/>
    <w:rsid w:val="006E2DC3"/>
    <w:rsid w:val="006E31F3"/>
    <w:rsid w:val="006E3840"/>
    <w:rsid w:val="006E4320"/>
    <w:rsid w:val="006E7F91"/>
    <w:rsid w:val="006E7FC6"/>
    <w:rsid w:val="006F03A8"/>
    <w:rsid w:val="006F13DC"/>
    <w:rsid w:val="006F18CE"/>
    <w:rsid w:val="006F2337"/>
    <w:rsid w:val="006F23D9"/>
    <w:rsid w:val="006F270A"/>
    <w:rsid w:val="006F2ACA"/>
    <w:rsid w:val="006F2ADC"/>
    <w:rsid w:val="006F2BD3"/>
    <w:rsid w:val="006F2BFE"/>
    <w:rsid w:val="006F31E9"/>
    <w:rsid w:val="006F40C9"/>
    <w:rsid w:val="006F5A02"/>
    <w:rsid w:val="006F6284"/>
    <w:rsid w:val="006F6F43"/>
    <w:rsid w:val="006F7B76"/>
    <w:rsid w:val="007002C5"/>
    <w:rsid w:val="00700F28"/>
    <w:rsid w:val="00701648"/>
    <w:rsid w:val="00702058"/>
    <w:rsid w:val="00702591"/>
    <w:rsid w:val="0070390E"/>
    <w:rsid w:val="00704387"/>
    <w:rsid w:val="00706408"/>
    <w:rsid w:val="00707669"/>
    <w:rsid w:val="00707A33"/>
    <w:rsid w:val="00707C9B"/>
    <w:rsid w:val="00710628"/>
    <w:rsid w:val="00711C78"/>
    <w:rsid w:val="00711CBA"/>
    <w:rsid w:val="00711FB5"/>
    <w:rsid w:val="007126AF"/>
    <w:rsid w:val="00712765"/>
    <w:rsid w:val="00712A01"/>
    <w:rsid w:val="007134DE"/>
    <w:rsid w:val="007146DA"/>
    <w:rsid w:val="00714869"/>
    <w:rsid w:val="00714D70"/>
    <w:rsid w:val="00714F58"/>
    <w:rsid w:val="00717451"/>
    <w:rsid w:val="0071772A"/>
    <w:rsid w:val="00717982"/>
    <w:rsid w:val="007206F7"/>
    <w:rsid w:val="007208EA"/>
    <w:rsid w:val="00720CE4"/>
    <w:rsid w:val="00721398"/>
    <w:rsid w:val="007216C3"/>
    <w:rsid w:val="00722FBF"/>
    <w:rsid w:val="00722FC2"/>
    <w:rsid w:val="007232A3"/>
    <w:rsid w:val="00724318"/>
    <w:rsid w:val="0072476F"/>
    <w:rsid w:val="00724879"/>
    <w:rsid w:val="00724E1B"/>
    <w:rsid w:val="007250B3"/>
    <w:rsid w:val="007252EE"/>
    <w:rsid w:val="00725949"/>
    <w:rsid w:val="007275FD"/>
    <w:rsid w:val="00727AEA"/>
    <w:rsid w:val="00727FA2"/>
    <w:rsid w:val="007300FC"/>
    <w:rsid w:val="00730845"/>
    <w:rsid w:val="007311C6"/>
    <w:rsid w:val="00731898"/>
    <w:rsid w:val="00731FC4"/>
    <w:rsid w:val="007322D9"/>
    <w:rsid w:val="0073263D"/>
    <w:rsid w:val="00732BC0"/>
    <w:rsid w:val="00733803"/>
    <w:rsid w:val="0073394B"/>
    <w:rsid w:val="00734372"/>
    <w:rsid w:val="00734954"/>
    <w:rsid w:val="007349DF"/>
    <w:rsid w:val="00735B20"/>
    <w:rsid w:val="0073720F"/>
    <w:rsid w:val="00737796"/>
    <w:rsid w:val="00741289"/>
    <w:rsid w:val="0074165C"/>
    <w:rsid w:val="007419D9"/>
    <w:rsid w:val="00741C1F"/>
    <w:rsid w:val="00742C35"/>
    <w:rsid w:val="00743185"/>
    <w:rsid w:val="007432CA"/>
    <w:rsid w:val="00743770"/>
    <w:rsid w:val="007439EB"/>
    <w:rsid w:val="00743AE7"/>
    <w:rsid w:val="00743B76"/>
    <w:rsid w:val="00743CB4"/>
    <w:rsid w:val="00743F0A"/>
    <w:rsid w:val="00744319"/>
    <w:rsid w:val="007444E8"/>
    <w:rsid w:val="0074548E"/>
    <w:rsid w:val="00745773"/>
    <w:rsid w:val="00746800"/>
    <w:rsid w:val="007501A8"/>
    <w:rsid w:val="00750D61"/>
    <w:rsid w:val="00750EE1"/>
    <w:rsid w:val="00751C5B"/>
    <w:rsid w:val="00752573"/>
    <w:rsid w:val="00752648"/>
    <w:rsid w:val="00752B4D"/>
    <w:rsid w:val="0075306E"/>
    <w:rsid w:val="00755402"/>
    <w:rsid w:val="00756B26"/>
    <w:rsid w:val="00756EDF"/>
    <w:rsid w:val="007577DB"/>
    <w:rsid w:val="007600E3"/>
    <w:rsid w:val="0076205E"/>
    <w:rsid w:val="0076439C"/>
    <w:rsid w:val="00765C43"/>
    <w:rsid w:val="00765E05"/>
    <w:rsid w:val="00765EFB"/>
    <w:rsid w:val="00765F8B"/>
    <w:rsid w:val="00766BA0"/>
    <w:rsid w:val="007671CA"/>
    <w:rsid w:val="00767B5C"/>
    <w:rsid w:val="00767C61"/>
    <w:rsid w:val="00767ED8"/>
    <w:rsid w:val="0077008A"/>
    <w:rsid w:val="00770AE0"/>
    <w:rsid w:val="0077150E"/>
    <w:rsid w:val="00772142"/>
    <w:rsid w:val="007722EC"/>
    <w:rsid w:val="00772D6B"/>
    <w:rsid w:val="007739D0"/>
    <w:rsid w:val="00773C1F"/>
    <w:rsid w:val="00774DA4"/>
    <w:rsid w:val="00774E8B"/>
    <w:rsid w:val="00776599"/>
    <w:rsid w:val="00776F9F"/>
    <w:rsid w:val="0078016B"/>
    <w:rsid w:val="00780B3F"/>
    <w:rsid w:val="00780FB5"/>
    <w:rsid w:val="0078114B"/>
    <w:rsid w:val="0078149A"/>
    <w:rsid w:val="00781CD8"/>
    <w:rsid w:val="00781D8E"/>
    <w:rsid w:val="00781DD2"/>
    <w:rsid w:val="007827CA"/>
    <w:rsid w:val="00783AA1"/>
    <w:rsid w:val="00783B66"/>
    <w:rsid w:val="00783ECF"/>
    <w:rsid w:val="0078413A"/>
    <w:rsid w:val="00784885"/>
    <w:rsid w:val="00784E49"/>
    <w:rsid w:val="00784EB8"/>
    <w:rsid w:val="00785A13"/>
    <w:rsid w:val="00786114"/>
    <w:rsid w:val="0078641E"/>
    <w:rsid w:val="00787385"/>
    <w:rsid w:val="007877B3"/>
    <w:rsid w:val="00791057"/>
    <w:rsid w:val="007913D3"/>
    <w:rsid w:val="007939B7"/>
    <w:rsid w:val="00793EA1"/>
    <w:rsid w:val="00794E19"/>
    <w:rsid w:val="007951F4"/>
    <w:rsid w:val="007955C6"/>
    <w:rsid w:val="007959E8"/>
    <w:rsid w:val="00795E9C"/>
    <w:rsid w:val="00795F92"/>
    <w:rsid w:val="007963B8"/>
    <w:rsid w:val="00796464"/>
    <w:rsid w:val="007965F1"/>
    <w:rsid w:val="007A0142"/>
    <w:rsid w:val="007A0521"/>
    <w:rsid w:val="007A20C2"/>
    <w:rsid w:val="007A2E12"/>
    <w:rsid w:val="007A3475"/>
    <w:rsid w:val="007A34F0"/>
    <w:rsid w:val="007A3BD2"/>
    <w:rsid w:val="007A41C8"/>
    <w:rsid w:val="007A42E3"/>
    <w:rsid w:val="007A54CE"/>
    <w:rsid w:val="007A5D2C"/>
    <w:rsid w:val="007A6EAF"/>
    <w:rsid w:val="007A6FD9"/>
    <w:rsid w:val="007A7FFA"/>
    <w:rsid w:val="007B04EB"/>
    <w:rsid w:val="007B0D4F"/>
    <w:rsid w:val="007B1997"/>
    <w:rsid w:val="007B1A3E"/>
    <w:rsid w:val="007B27C2"/>
    <w:rsid w:val="007B33C1"/>
    <w:rsid w:val="007B4E4E"/>
    <w:rsid w:val="007B57D1"/>
    <w:rsid w:val="007B5A3D"/>
    <w:rsid w:val="007B5B95"/>
    <w:rsid w:val="007B63E8"/>
    <w:rsid w:val="007B68EA"/>
    <w:rsid w:val="007B6C66"/>
    <w:rsid w:val="007B71FE"/>
    <w:rsid w:val="007B7453"/>
    <w:rsid w:val="007B759C"/>
    <w:rsid w:val="007C090A"/>
    <w:rsid w:val="007C1E8B"/>
    <w:rsid w:val="007C224F"/>
    <w:rsid w:val="007C2D89"/>
    <w:rsid w:val="007C2F06"/>
    <w:rsid w:val="007C35E1"/>
    <w:rsid w:val="007C4593"/>
    <w:rsid w:val="007C5309"/>
    <w:rsid w:val="007C6069"/>
    <w:rsid w:val="007D0266"/>
    <w:rsid w:val="007D06C4"/>
    <w:rsid w:val="007D0CBA"/>
    <w:rsid w:val="007D1352"/>
    <w:rsid w:val="007D210B"/>
    <w:rsid w:val="007D2178"/>
    <w:rsid w:val="007D2508"/>
    <w:rsid w:val="007D2C5C"/>
    <w:rsid w:val="007D346A"/>
    <w:rsid w:val="007D3712"/>
    <w:rsid w:val="007D4913"/>
    <w:rsid w:val="007D621F"/>
    <w:rsid w:val="007D6518"/>
    <w:rsid w:val="007D76BD"/>
    <w:rsid w:val="007D76C4"/>
    <w:rsid w:val="007D7827"/>
    <w:rsid w:val="007D7C9E"/>
    <w:rsid w:val="007E0110"/>
    <w:rsid w:val="007E0987"/>
    <w:rsid w:val="007E0BF1"/>
    <w:rsid w:val="007E0D16"/>
    <w:rsid w:val="007E453D"/>
    <w:rsid w:val="007E47F3"/>
    <w:rsid w:val="007E4AB2"/>
    <w:rsid w:val="007E4C2D"/>
    <w:rsid w:val="007E5997"/>
    <w:rsid w:val="007E6E6D"/>
    <w:rsid w:val="007F0ED8"/>
    <w:rsid w:val="007F0F63"/>
    <w:rsid w:val="007F2E60"/>
    <w:rsid w:val="007F3E39"/>
    <w:rsid w:val="007F3FBD"/>
    <w:rsid w:val="007F4964"/>
    <w:rsid w:val="007F4BE0"/>
    <w:rsid w:val="007F5359"/>
    <w:rsid w:val="007F5F49"/>
    <w:rsid w:val="007F60A0"/>
    <w:rsid w:val="007F60F8"/>
    <w:rsid w:val="007F7261"/>
    <w:rsid w:val="007F75CE"/>
    <w:rsid w:val="007F7849"/>
    <w:rsid w:val="00800DE8"/>
    <w:rsid w:val="008013A4"/>
    <w:rsid w:val="008027CE"/>
    <w:rsid w:val="00802F42"/>
    <w:rsid w:val="0080356B"/>
    <w:rsid w:val="00803D8E"/>
    <w:rsid w:val="00804383"/>
    <w:rsid w:val="00804BB7"/>
    <w:rsid w:val="00804D41"/>
    <w:rsid w:val="00805B76"/>
    <w:rsid w:val="008067F2"/>
    <w:rsid w:val="00810257"/>
    <w:rsid w:val="008103F1"/>
    <w:rsid w:val="008104F5"/>
    <w:rsid w:val="00811072"/>
    <w:rsid w:val="00811369"/>
    <w:rsid w:val="008120C6"/>
    <w:rsid w:val="00812272"/>
    <w:rsid w:val="00812C9A"/>
    <w:rsid w:val="0081329F"/>
    <w:rsid w:val="008137E4"/>
    <w:rsid w:val="008141A6"/>
    <w:rsid w:val="00815419"/>
    <w:rsid w:val="008160A5"/>
    <w:rsid w:val="008163C8"/>
    <w:rsid w:val="008164A1"/>
    <w:rsid w:val="00817325"/>
    <w:rsid w:val="0081758C"/>
    <w:rsid w:val="008205C9"/>
    <w:rsid w:val="008209E6"/>
    <w:rsid w:val="00821C35"/>
    <w:rsid w:val="00822BFF"/>
    <w:rsid w:val="00823303"/>
    <w:rsid w:val="008233B2"/>
    <w:rsid w:val="00823A9F"/>
    <w:rsid w:val="00823C85"/>
    <w:rsid w:val="00825138"/>
    <w:rsid w:val="00825B83"/>
    <w:rsid w:val="00825B99"/>
    <w:rsid w:val="008269DD"/>
    <w:rsid w:val="00826C5F"/>
    <w:rsid w:val="00827A3F"/>
    <w:rsid w:val="00830621"/>
    <w:rsid w:val="008312ED"/>
    <w:rsid w:val="00831837"/>
    <w:rsid w:val="008328B5"/>
    <w:rsid w:val="0083348C"/>
    <w:rsid w:val="008335F6"/>
    <w:rsid w:val="00833BCB"/>
    <w:rsid w:val="00833C40"/>
    <w:rsid w:val="008342C5"/>
    <w:rsid w:val="00834A9C"/>
    <w:rsid w:val="008353B6"/>
    <w:rsid w:val="00835499"/>
    <w:rsid w:val="00836CBB"/>
    <w:rsid w:val="00836DB0"/>
    <w:rsid w:val="008373D3"/>
    <w:rsid w:val="00840617"/>
    <w:rsid w:val="00840CAD"/>
    <w:rsid w:val="00840F84"/>
    <w:rsid w:val="00842A47"/>
    <w:rsid w:val="00843C13"/>
    <w:rsid w:val="00843F05"/>
    <w:rsid w:val="008454F8"/>
    <w:rsid w:val="008459AF"/>
    <w:rsid w:val="00845E77"/>
    <w:rsid w:val="008460DA"/>
    <w:rsid w:val="00846721"/>
    <w:rsid w:val="0085070F"/>
    <w:rsid w:val="0085097D"/>
    <w:rsid w:val="0085173A"/>
    <w:rsid w:val="008526F6"/>
    <w:rsid w:val="00852C7A"/>
    <w:rsid w:val="00853344"/>
    <w:rsid w:val="0085394B"/>
    <w:rsid w:val="00853AA8"/>
    <w:rsid w:val="00854163"/>
    <w:rsid w:val="00854DCD"/>
    <w:rsid w:val="00855973"/>
    <w:rsid w:val="00856316"/>
    <w:rsid w:val="008572BC"/>
    <w:rsid w:val="008603CE"/>
    <w:rsid w:val="00860526"/>
    <w:rsid w:val="00860FF7"/>
    <w:rsid w:val="008619BE"/>
    <w:rsid w:val="008619DE"/>
    <w:rsid w:val="008620FC"/>
    <w:rsid w:val="008627A5"/>
    <w:rsid w:val="00862CC5"/>
    <w:rsid w:val="00862F76"/>
    <w:rsid w:val="00863DF1"/>
    <w:rsid w:val="00863E05"/>
    <w:rsid w:val="008651E0"/>
    <w:rsid w:val="00865ACA"/>
    <w:rsid w:val="00865D28"/>
    <w:rsid w:val="00865F85"/>
    <w:rsid w:val="00866212"/>
    <w:rsid w:val="00866F98"/>
    <w:rsid w:val="00867C10"/>
    <w:rsid w:val="00870439"/>
    <w:rsid w:val="0087046D"/>
    <w:rsid w:val="0087090E"/>
    <w:rsid w:val="00870D22"/>
    <w:rsid w:val="00870DA1"/>
    <w:rsid w:val="0087214E"/>
    <w:rsid w:val="00872E1F"/>
    <w:rsid w:val="00872F8F"/>
    <w:rsid w:val="00873639"/>
    <w:rsid w:val="00874B54"/>
    <w:rsid w:val="00875778"/>
    <w:rsid w:val="00880B19"/>
    <w:rsid w:val="0088168F"/>
    <w:rsid w:val="00881BCE"/>
    <w:rsid w:val="008828A4"/>
    <w:rsid w:val="008830F0"/>
    <w:rsid w:val="008831EB"/>
    <w:rsid w:val="00883F93"/>
    <w:rsid w:val="008846D4"/>
    <w:rsid w:val="00884DB3"/>
    <w:rsid w:val="00885873"/>
    <w:rsid w:val="00885A9D"/>
    <w:rsid w:val="008864F6"/>
    <w:rsid w:val="00887211"/>
    <w:rsid w:val="0088782F"/>
    <w:rsid w:val="0089049D"/>
    <w:rsid w:val="00890B4D"/>
    <w:rsid w:val="00892401"/>
    <w:rsid w:val="008928C9"/>
    <w:rsid w:val="008930CB"/>
    <w:rsid w:val="008938DC"/>
    <w:rsid w:val="00893FD1"/>
    <w:rsid w:val="00894336"/>
    <w:rsid w:val="00894836"/>
    <w:rsid w:val="00895172"/>
    <w:rsid w:val="00895552"/>
    <w:rsid w:val="00895680"/>
    <w:rsid w:val="00895C0E"/>
    <w:rsid w:val="00896171"/>
    <w:rsid w:val="00896529"/>
    <w:rsid w:val="00896B5D"/>
    <w:rsid w:val="00896DFF"/>
    <w:rsid w:val="0089762C"/>
    <w:rsid w:val="00897708"/>
    <w:rsid w:val="008A1262"/>
    <w:rsid w:val="008A1893"/>
    <w:rsid w:val="008A1C72"/>
    <w:rsid w:val="008A26C5"/>
    <w:rsid w:val="008A3215"/>
    <w:rsid w:val="008A3476"/>
    <w:rsid w:val="008A44DF"/>
    <w:rsid w:val="008A4B4B"/>
    <w:rsid w:val="008A548D"/>
    <w:rsid w:val="008A57E6"/>
    <w:rsid w:val="008A5C0F"/>
    <w:rsid w:val="008A6F81"/>
    <w:rsid w:val="008A7461"/>
    <w:rsid w:val="008A769A"/>
    <w:rsid w:val="008A7777"/>
    <w:rsid w:val="008A7A77"/>
    <w:rsid w:val="008B0C9C"/>
    <w:rsid w:val="008B131E"/>
    <w:rsid w:val="008B166D"/>
    <w:rsid w:val="008B17F4"/>
    <w:rsid w:val="008B1C74"/>
    <w:rsid w:val="008B3615"/>
    <w:rsid w:val="008B3A3B"/>
    <w:rsid w:val="008B4AC4"/>
    <w:rsid w:val="008B50C8"/>
    <w:rsid w:val="008B5281"/>
    <w:rsid w:val="008B7793"/>
    <w:rsid w:val="008B7A09"/>
    <w:rsid w:val="008B7AA9"/>
    <w:rsid w:val="008B7E05"/>
    <w:rsid w:val="008C114A"/>
    <w:rsid w:val="008C12D5"/>
    <w:rsid w:val="008C1797"/>
    <w:rsid w:val="008C1EC3"/>
    <w:rsid w:val="008C219C"/>
    <w:rsid w:val="008C3479"/>
    <w:rsid w:val="008C475E"/>
    <w:rsid w:val="008C49E0"/>
    <w:rsid w:val="008C619A"/>
    <w:rsid w:val="008C62EA"/>
    <w:rsid w:val="008C6C91"/>
    <w:rsid w:val="008C77C8"/>
    <w:rsid w:val="008D0CE8"/>
    <w:rsid w:val="008D0DDB"/>
    <w:rsid w:val="008D1B25"/>
    <w:rsid w:val="008D1CB8"/>
    <w:rsid w:val="008D28AF"/>
    <w:rsid w:val="008D2D1D"/>
    <w:rsid w:val="008D3265"/>
    <w:rsid w:val="008D453D"/>
    <w:rsid w:val="008D4627"/>
    <w:rsid w:val="008D4FD0"/>
    <w:rsid w:val="008D5276"/>
    <w:rsid w:val="008D53AD"/>
    <w:rsid w:val="008D562B"/>
    <w:rsid w:val="008D5733"/>
    <w:rsid w:val="008D5C98"/>
    <w:rsid w:val="008D622B"/>
    <w:rsid w:val="008D666C"/>
    <w:rsid w:val="008D75B6"/>
    <w:rsid w:val="008D7B54"/>
    <w:rsid w:val="008D7ED9"/>
    <w:rsid w:val="008E0C9D"/>
    <w:rsid w:val="008E101C"/>
    <w:rsid w:val="008E1648"/>
    <w:rsid w:val="008E1B3E"/>
    <w:rsid w:val="008E2319"/>
    <w:rsid w:val="008E289C"/>
    <w:rsid w:val="008E4BB6"/>
    <w:rsid w:val="008E4C5B"/>
    <w:rsid w:val="008E50F3"/>
    <w:rsid w:val="008E5518"/>
    <w:rsid w:val="008E62BB"/>
    <w:rsid w:val="008E6811"/>
    <w:rsid w:val="008E6A84"/>
    <w:rsid w:val="008F0C03"/>
    <w:rsid w:val="008F0CDC"/>
    <w:rsid w:val="008F1687"/>
    <w:rsid w:val="008F17A3"/>
    <w:rsid w:val="008F1ED3"/>
    <w:rsid w:val="008F20E9"/>
    <w:rsid w:val="008F2341"/>
    <w:rsid w:val="008F23A5"/>
    <w:rsid w:val="008F484A"/>
    <w:rsid w:val="008F4AC4"/>
    <w:rsid w:val="008F4C29"/>
    <w:rsid w:val="008F70BD"/>
    <w:rsid w:val="008F70CC"/>
    <w:rsid w:val="008F788F"/>
    <w:rsid w:val="008F7EA2"/>
    <w:rsid w:val="0090001D"/>
    <w:rsid w:val="0090074C"/>
    <w:rsid w:val="00900B0F"/>
    <w:rsid w:val="00901022"/>
    <w:rsid w:val="00902722"/>
    <w:rsid w:val="009027BC"/>
    <w:rsid w:val="00902C52"/>
    <w:rsid w:val="00904B46"/>
    <w:rsid w:val="009062E6"/>
    <w:rsid w:val="00906374"/>
    <w:rsid w:val="00906B00"/>
    <w:rsid w:val="00907B88"/>
    <w:rsid w:val="009114E4"/>
    <w:rsid w:val="00911BE5"/>
    <w:rsid w:val="00911D4B"/>
    <w:rsid w:val="00912BCD"/>
    <w:rsid w:val="00913CA9"/>
    <w:rsid w:val="009140DB"/>
    <w:rsid w:val="009143B9"/>
    <w:rsid w:val="009145AE"/>
    <w:rsid w:val="009146CE"/>
    <w:rsid w:val="00914CA7"/>
    <w:rsid w:val="00914CAC"/>
    <w:rsid w:val="00915C3E"/>
    <w:rsid w:val="00915CDF"/>
    <w:rsid w:val="009161A8"/>
    <w:rsid w:val="009166B6"/>
    <w:rsid w:val="00916877"/>
    <w:rsid w:val="00917E6D"/>
    <w:rsid w:val="009205BD"/>
    <w:rsid w:val="009208AF"/>
    <w:rsid w:val="009209C3"/>
    <w:rsid w:val="00921D67"/>
    <w:rsid w:val="00923943"/>
    <w:rsid w:val="009245F5"/>
    <w:rsid w:val="009249EC"/>
    <w:rsid w:val="00924E4C"/>
    <w:rsid w:val="0092610A"/>
    <w:rsid w:val="0092640B"/>
    <w:rsid w:val="009273B3"/>
    <w:rsid w:val="009305B5"/>
    <w:rsid w:val="00930E10"/>
    <w:rsid w:val="009324C2"/>
    <w:rsid w:val="00932D60"/>
    <w:rsid w:val="00934BF6"/>
    <w:rsid w:val="00936FAA"/>
    <w:rsid w:val="00936FB7"/>
    <w:rsid w:val="00937026"/>
    <w:rsid w:val="00941DBB"/>
    <w:rsid w:val="009429D5"/>
    <w:rsid w:val="00942BF1"/>
    <w:rsid w:val="00942D7B"/>
    <w:rsid w:val="00943923"/>
    <w:rsid w:val="00944169"/>
    <w:rsid w:val="009441A0"/>
    <w:rsid w:val="00945180"/>
    <w:rsid w:val="00945428"/>
    <w:rsid w:val="0094607B"/>
    <w:rsid w:val="00950A18"/>
    <w:rsid w:val="00951789"/>
    <w:rsid w:val="00953604"/>
    <w:rsid w:val="0095391D"/>
    <w:rsid w:val="00953AF0"/>
    <w:rsid w:val="0095496B"/>
    <w:rsid w:val="0095526A"/>
    <w:rsid w:val="00960DA4"/>
    <w:rsid w:val="009610DC"/>
    <w:rsid w:val="00961490"/>
    <w:rsid w:val="00962809"/>
    <w:rsid w:val="0096293E"/>
    <w:rsid w:val="0096294E"/>
    <w:rsid w:val="0096381A"/>
    <w:rsid w:val="00965E04"/>
    <w:rsid w:val="009674AD"/>
    <w:rsid w:val="00967BEF"/>
    <w:rsid w:val="00970CDC"/>
    <w:rsid w:val="00971CF8"/>
    <w:rsid w:val="00971D65"/>
    <w:rsid w:val="009720C7"/>
    <w:rsid w:val="009723FA"/>
    <w:rsid w:val="00972407"/>
    <w:rsid w:val="00972BB8"/>
    <w:rsid w:val="009748C1"/>
    <w:rsid w:val="00975697"/>
    <w:rsid w:val="0097614F"/>
    <w:rsid w:val="00976628"/>
    <w:rsid w:val="0097681E"/>
    <w:rsid w:val="00977010"/>
    <w:rsid w:val="00977D02"/>
    <w:rsid w:val="0098052E"/>
    <w:rsid w:val="009809BB"/>
    <w:rsid w:val="009810E0"/>
    <w:rsid w:val="00982C09"/>
    <w:rsid w:val="00982F60"/>
    <w:rsid w:val="00983356"/>
    <w:rsid w:val="0098364B"/>
    <w:rsid w:val="009841BE"/>
    <w:rsid w:val="00984567"/>
    <w:rsid w:val="00984788"/>
    <w:rsid w:val="00984A78"/>
    <w:rsid w:val="0098594E"/>
    <w:rsid w:val="00986A85"/>
    <w:rsid w:val="00987310"/>
    <w:rsid w:val="0098777D"/>
    <w:rsid w:val="009877BF"/>
    <w:rsid w:val="009911AF"/>
    <w:rsid w:val="00991875"/>
    <w:rsid w:val="00991F92"/>
    <w:rsid w:val="00992985"/>
    <w:rsid w:val="0099325F"/>
    <w:rsid w:val="009936D3"/>
    <w:rsid w:val="00993889"/>
    <w:rsid w:val="00993C22"/>
    <w:rsid w:val="00994313"/>
    <w:rsid w:val="0099456E"/>
    <w:rsid w:val="0099551B"/>
    <w:rsid w:val="0099618F"/>
    <w:rsid w:val="00996A60"/>
    <w:rsid w:val="00997BF1"/>
    <w:rsid w:val="009A089C"/>
    <w:rsid w:val="009A0FF9"/>
    <w:rsid w:val="009A1020"/>
    <w:rsid w:val="009A118E"/>
    <w:rsid w:val="009A2084"/>
    <w:rsid w:val="009A21CD"/>
    <w:rsid w:val="009A278C"/>
    <w:rsid w:val="009A28EB"/>
    <w:rsid w:val="009A2BC2"/>
    <w:rsid w:val="009A2C8D"/>
    <w:rsid w:val="009A2E6C"/>
    <w:rsid w:val="009A351B"/>
    <w:rsid w:val="009A42C1"/>
    <w:rsid w:val="009A5429"/>
    <w:rsid w:val="009A6304"/>
    <w:rsid w:val="009A72AD"/>
    <w:rsid w:val="009B09E0"/>
    <w:rsid w:val="009B0BC5"/>
    <w:rsid w:val="009B1247"/>
    <w:rsid w:val="009B176B"/>
    <w:rsid w:val="009B17FD"/>
    <w:rsid w:val="009B1B63"/>
    <w:rsid w:val="009B1CC6"/>
    <w:rsid w:val="009B2C7F"/>
    <w:rsid w:val="009B3699"/>
    <w:rsid w:val="009B46F9"/>
    <w:rsid w:val="009B5031"/>
    <w:rsid w:val="009B50B7"/>
    <w:rsid w:val="009B51F0"/>
    <w:rsid w:val="009B531D"/>
    <w:rsid w:val="009B6029"/>
    <w:rsid w:val="009B6836"/>
    <w:rsid w:val="009B6971"/>
    <w:rsid w:val="009B6A3B"/>
    <w:rsid w:val="009C174C"/>
    <w:rsid w:val="009C1CF8"/>
    <w:rsid w:val="009C27F1"/>
    <w:rsid w:val="009C3152"/>
    <w:rsid w:val="009C40A3"/>
    <w:rsid w:val="009C4CFA"/>
    <w:rsid w:val="009C5070"/>
    <w:rsid w:val="009C5CBE"/>
    <w:rsid w:val="009C6652"/>
    <w:rsid w:val="009D112C"/>
    <w:rsid w:val="009D1895"/>
    <w:rsid w:val="009D39A1"/>
    <w:rsid w:val="009D3D08"/>
    <w:rsid w:val="009D47FA"/>
    <w:rsid w:val="009D4C5B"/>
    <w:rsid w:val="009D50D2"/>
    <w:rsid w:val="009D5C88"/>
    <w:rsid w:val="009D5D9A"/>
    <w:rsid w:val="009D6BCA"/>
    <w:rsid w:val="009D7F9A"/>
    <w:rsid w:val="009E0F62"/>
    <w:rsid w:val="009E1402"/>
    <w:rsid w:val="009E30E3"/>
    <w:rsid w:val="009E39A8"/>
    <w:rsid w:val="009E488A"/>
    <w:rsid w:val="009E4A58"/>
    <w:rsid w:val="009E4EDA"/>
    <w:rsid w:val="009E5A2D"/>
    <w:rsid w:val="009E5AB2"/>
    <w:rsid w:val="009E6219"/>
    <w:rsid w:val="009F03B3"/>
    <w:rsid w:val="009F07BC"/>
    <w:rsid w:val="009F0DC4"/>
    <w:rsid w:val="009F0DC8"/>
    <w:rsid w:val="009F0FA9"/>
    <w:rsid w:val="009F19BE"/>
    <w:rsid w:val="009F62DB"/>
    <w:rsid w:val="009F69A8"/>
    <w:rsid w:val="009F78C1"/>
    <w:rsid w:val="009F7A5C"/>
    <w:rsid w:val="009F7C2D"/>
    <w:rsid w:val="00A00364"/>
    <w:rsid w:val="00A00597"/>
    <w:rsid w:val="00A0096C"/>
    <w:rsid w:val="00A00BC1"/>
    <w:rsid w:val="00A01757"/>
    <w:rsid w:val="00A01E7E"/>
    <w:rsid w:val="00A023CB"/>
    <w:rsid w:val="00A025AB"/>
    <w:rsid w:val="00A028C0"/>
    <w:rsid w:val="00A02BAE"/>
    <w:rsid w:val="00A02E5E"/>
    <w:rsid w:val="00A04B9A"/>
    <w:rsid w:val="00A05675"/>
    <w:rsid w:val="00A06A6B"/>
    <w:rsid w:val="00A07E47"/>
    <w:rsid w:val="00A11F65"/>
    <w:rsid w:val="00A123BB"/>
    <w:rsid w:val="00A1273E"/>
    <w:rsid w:val="00A129D0"/>
    <w:rsid w:val="00A12C33"/>
    <w:rsid w:val="00A137E3"/>
    <w:rsid w:val="00A138BA"/>
    <w:rsid w:val="00A14C8E"/>
    <w:rsid w:val="00A14EE5"/>
    <w:rsid w:val="00A150BA"/>
    <w:rsid w:val="00A153D9"/>
    <w:rsid w:val="00A15932"/>
    <w:rsid w:val="00A15F09"/>
    <w:rsid w:val="00A169B6"/>
    <w:rsid w:val="00A21232"/>
    <w:rsid w:val="00A22013"/>
    <w:rsid w:val="00A223F3"/>
    <w:rsid w:val="00A2271D"/>
    <w:rsid w:val="00A237D5"/>
    <w:rsid w:val="00A23C91"/>
    <w:rsid w:val="00A2531E"/>
    <w:rsid w:val="00A30EFC"/>
    <w:rsid w:val="00A31984"/>
    <w:rsid w:val="00A325B6"/>
    <w:rsid w:val="00A327B6"/>
    <w:rsid w:val="00A32D73"/>
    <w:rsid w:val="00A3367B"/>
    <w:rsid w:val="00A33D9E"/>
    <w:rsid w:val="00A3597D"/>
    <w:rsid w:val="00A369A5"/>
    <w:rsid w:val="00A36DD1"/>
    <w:rsid w:val="00A4006C"/>
    <w:rsid w:val="00A40091"/>
    <w:rsid w:val="00A4030F"/>
    <w:rsid w:val="00A404D1"/>
    <w:rsid w:val="00A41B24"/>
    <w:rsid w:val="00A41C79"/>
    <w:rsid w:val="00A41CB5"/>
    <w:rsid w:val="00A41D78"/>
    <w:rsid w:val="00A41E69"/>
    <w:rsid w:val="00A42CDF"/>
    <w:rsid w:val="00A4452E"/>
    <w:rsid w:val="00A4472C"/>
    <w:rsid w:val="00A44E69"/>
    <w:rsid w:val="00A455D0"/>
    <w:rsid w:val="00A4661E"/>
    <w:rsid w:val="00A47013"/>
    <w:rsid w:val="00A505AE"/>
    <w:rsid w:val="00A52D9F"/>
    <w:rsid w:val="00A5315C"/>
    <w:rsid w:val="00A53C2D"/>
    <w:rsid w:val="00A53EE3"/>
    <w:rsid w:val="00A53FBB"/>
    <w:rsid w:val="00A55BD6"/>
    <w:rsid w:val="00A55D50"/>
    <w:rsid w:val="00A57142"/>
    <w:rsid w:val="00A57B6E"/>
    <w:rsid w:val="00A61FD6"/>
    <w:rsid w:val="00A6235F"/>
    <w:rsid w:val="00A627DF"/>
    <w:rsid w:val="00A62C95"/>
    <w:rsid w:val="00A63341"/>
    <w:rsid w:val="00A63719"/>
    <w:rsid w:val="00A648CD"/>
    <w:rsid w:val="00A6537A"/>
    <w:rsid w:val="00A67866"/>
    <w:rsid w:val="00A70B07"/>
    <w:rsid w:val="00A7230F"/>
    <w:rsid w:val="00A723F8"/>
    <w:rsid w:val="00A73144"/>
    <w:rsid w:val="00A74A53"/>
    <w:rsid w:val="00A753B3"/>
    <w:rsid w:val="00A76D98"/>
    <w:rsid w:val="00A7773B"/>
    <w:rsid w:val="00A77CCA"/>
    <w:rsid w:val="00A77CCB"/>
    <w:rsid w:val="00A77E1E"/>
    <w:rsid w:val="00A83029"/>
    <w:rsid w:val="00A8304A"/>
    <w:rsid w:val="00A83063"/>
    <w:rsid w:val="00A83D8D"/>
    <w:rsid w:val="00A8446B"/>
    <w:rsid w:val="00A8473F"/>
    <w:rsid w:val="00A84DF5"/>
    <w:rsid w:val="00A862D6"/>
    <w:rsid w:val="00A86E6F"/>
    <w:rsid w:val="00A8715E"/>
    <w:rsid w:val="00A87C01"/>
    <w:rsid w:val="00A906DB"/>
    <w:rsid w:val="00A90F37"/>
    <w:rsid w:val="00A9117F"/>
    <w:rsid w:val="00A919C0"/>
    <w:rsid w:val="00A92237"/>
    <w:rsid w:val="00A9295B"/>
    <w:rsid w:val="00A92C1B"/>
    <w:rsid w:val="00A93B09"/>
    <w:rsid w:val="00A93DEC"/>
    <w:rsid w:val="00A94247"/>
    <w:rsid w:val="00A952D7"/>
    <w:rsid w:val="00A963F7"/>
    <w:rsid w:val="00A96AD8"/>
    <w:rsid w:val="00A96C89"/>
    <w:rsid w:val="00A97DEE"/>
    <w:rsid w:val="00AA052C"/>
    <w:rsid w:val="00AA074A"/>
    <w:rsid w:val="00AA1E45"/>
    <w:rsid w:val="00AA3724"/>
    <w:rsid w:val="00AA420C"/>
    <w:rsid w:val="00AA4286"/>
    <w:rsid w:val="00AA456B"/>
    <w:rsid w:val="00AA4E6D"/>
    <w:rsid w:val="00AA57F5"/>
    <w:rsid w:val="00AA64F8"/>
    <w:rsid w:val="00AA662B"/>
    <w:rsid w:val="00AA672E"/>
    <w:rsid w:val="00AA67F0"/>
    <w:rsid w:val="00AA6EC9"/>
    <w:rsid w:val="00AA6F79"/>
    <w:rsid w:val="00AA6FA1"/>
    <w:rsid w:val="00AB2100"/>
    <w:rsid w:val="00AB2564"/>
    <w:rsid w:val="00AB2D34"/>
    <w:rsid w:val="00AB41D5"/>
    <w:rsid w:val="00AB57B4"/>
    <w:rsid w:val="00AB60D4"/>
    <w:rsid w:val="00AB6309"/>
    <w:rsid w:val="00AB6C5F"/>
    <w:rsid w:val="00AB7129"/>
    <w:rsid w:val="00AB734B"/>
    <w:rsid w:val="00AC138B"/>
    <w:rsid w:val="00AC27A6"/>
    <w:rsid w:val="00AC30F7"/>
    <w:rsid w:val="00AC335B"/>
    <w:rsid w:val="00AC3A5A"/>
    <w:rsid w:val="00AC4423"/>
    <w:rsid w:val="00AC447A"/>
    <w:rsid w:val="00AC4D95"/>
    <w:rsid w:val="00AC5DF4"/>
    <w:rsid w:val="00AC618A"/>
    <w:rsid w:val="00AD0013"/>
    <w:rsid w:val="00AD0670"/>
    <w:rsid w:val="00AD0AEF"/>
    <w:rsid w:val="00AD11B7"/>
    <w:rsid w:val="00AD1A94"/>
    <w:rsid w:val="00AD1C05"/>
    <w:rsid w:val="00AD2FF6"/>
    <w:rsid w:val="00AD4126"/>
    <w:rsid w:val="00AD421C"/>
    <w:rsid w:val="00AD44FA"/>
    <w:rsid w:val="00AD56EF"/>
    <w:rsid w:val="00AD5B2F"/>
    <w:rsid w:val="00AD6582"/>
    <w:rsid w:val="00AD701E"/>
    <w:rsid w:val="00AE070A"/>
    <w:rsid w:val="00AE101C"/>
    <w:rsid w:val="00AE1A31"/>
    <w:rsid w:val="00AE20B6"/>
    <w:rsid w:val="00AE3009"/>
    <w:rsid w:val="00AE37E5"/>
    <w:rsid w:val="00AE4580"/>
    <w:rsid w:val="00AE5645"/>
    <w:rsid w:val="00AE5EB4"/>
    <w:rsid w:val="00AE75E1"/>
    <w:rsid w:val="00AF0C18"/>
    <w:rsid w:val="00AF1063"/>
    <w:rsid w:val="00AF1610"/>
    <w:rsid w:val="00AF236B"/>
    <w:rsid w:val="00AF3119"/>
    <w:rsid w:val="00AF47C5"/>
    <w:rsid w:val="00AF4FE1"/>
    <w:rsid w:val="00AF5398"/>
    <w:rsid w:val="00AF6CB9"/>
    <w:rsid w:val="00AF70D1"/>
    <w:rsid w:val="00AF7310"/>
    <w:rsid w:val="00B00FFE"/>
    <w:rsid w:val="00B0176B"/>
    <w:rsid w:val="00B0422A"/>
    <w:rsid w:val="00B049AF"/>
    <w:rsid w:val="00B04F9C"/>
    <w:rsid w:val="00B0525B"/>
    <w:rsid w:val="00B06890"/>
    <w:rsid w:val="00B07242"/>
    <w:rsid w:val="00B07D4C"/>
    <w:rsid w:val="00B10518"/>
    <w:rsid w:val="00B10534"/>
    <w:rsid w:val="00B1098C"/>
    <w:rsid w:val="00B11110"/>
    <w:rsid w:val="00B113DB"/>
    <w:rsid w:val="00B11536"/>
    <w:rsid w:val="00B11D8A"/>
    <w:rsid w:val="00B11E8B"/>
    <w:rsid w:val="00B12981"/>
    <w:rsid w:val="00B1301E"/>
    <w:rsid w:val="00B132B0"/>
    <w:rsid w:val="00B13BCF"/>
    <w:rsid w:val="00B14295"/>
    <w:rsid w:val="00B147DD"/>
    <w:rsid w:val="00B156FD"/>
    <w:rsid w:val="00B1682E"/>
    <w:rsid w:val="00B16ED9"/>
    <w:rsid w:val="00B1737F"/>
    <w:rsid w:val="00B2093F"/>
    <w:rsid w:val="00B21F61"/>
    <w:rsid w:val="00B2516D"/>
    <w:rsid w:val="00B255AA"/>
    <w:rsid w:val="00B261F1"/>
    <w:rsid w:val="00B265BC"/>
    <w:rsid w:val="00B267C5"/>
    <w:rsid w:val="00B274A4"/>
    <w:rsid w:val="00B302CB"/>
    <w:rsid w:val="00B309C8"/>
    <w:rsid w:val="00B31AFD"/>
    <w:rsid w:val="00B31FB1"/>
    <w:rsid w:val="00B327FC"/>
    <w:rsid w:val="00B33952"/>
    <w:rsid w:val="00B33C5E"/>
    <w:rsid w:val="00B342F4"/>
    <w:rsid w:val="00B34369"/>
    <w:rsid w:val="00B34AED"/>
    <w:rsid w:val="00B34C5C"/>
    <w:rsid w:val="00B34DC2"/>
    <w:rsid w:val="00B364FE"/>
    <w:rsid w:val="00B37243"/>
    <w:rsid w:val="00B37258"/>
    <w:rsid w:val="00B378E5"/>
    <w:rsid w:val="00B4177C"/>
    <w:rsid w:val="00B42F0A"/>
    <w:rsid w:val="00B4346D"/>
    <w:rsid w:val="00B43A3C"/>
    <w:rsid w:val="00B440F4"/>
    <w:rsid w:val="00B446FC"/>
    <w:rsid w:val="00B447A5"/>
    <w:rsid w:val="00B4654C"/>
    <w:rsid w:val="00B46AF0"/>
    <w:rsid w:val="00B47233"/>
    <w:rsid w:val="00B47293"/>
    <w:rsid w:val="00B47D27"/>
    <w:rsid w:val="00B47ECE"/>
    <w:rsid w:val="00B47F1E"/>
    <w:rsid w:val="00B50E50"/>
    <w:rsid w:val="00B52120"/>
    <w:rsid w:val="00B524B9"/>
    <w:rsid w:val="00B5325D"/>
    <w:rsid w:val="00B536B4"/>
    <w:rsid w:val="00B53C2C"/>
    <w:rsid w:val="00B53E0F"/>
    <w:rsid w:val="00B54ABC"/>
    <w:rsid w:val="00B54DDE"/>
    <w:rsid w:val="00B55CC0"/>
    <w:rsid w:val="00B56FBE"/>
    <w:rsid w:val="00B57C19"/>
    <w:rsid w:val="00B6051C"/>
    <w:rsid w:val="00B60ACF"/>
    <w:rsid w:val="00B60CE3"/>
    <w:rsid w:val="00B61C2A"/>
    <w:rsid w:val="00B61CD8"/>
    <w:rsid w:val="00B6214D"/>
    <w:rsid w:val="00B621F9"/>
    <w:rsid w:val="00B62B58"/>
    <w:rsid w:val="00B63484"/>
    <w:rsid w:val="00B641C4"/>
    <w:rsid w:val="00B64DD5"/>
    <w:rsid w:val="00B65149"/>
    <w:rsid w:val="00B66567"/>
    <w:rsid w:val="00B66627"/>
    <w:rsid w:val="00B6683B"/>
    <w:rsid w:val="00B66F52"/>
    <w:rsid w:val="00B66FE5"/>
    <w:rsid w:val="00B67004"/>
    <w:rsid w:val="00B6701F"/>
    <w:rsid w:val="00B67A69"/>
    <w:rsid w:val="00B71583"/>
    <w:rsid w:val="00B71A0E"/>
    <w:rsid w:val="00B71D06"/>
    <w:rsid w:val="00B72880"/>
    <w:rsid w:val="00B746FB"/>
    <w:rsid w:val="00B7495B"/>
    <w:rsid w:val="00B758BF"/>
    <w:rsid w:val="00B75C61"/>
    <w:rsid w:val="00B7744E"/>
    <w:rsid w:val="00B77EC8"/>
    <w:rsid w:val="00B81856"/>
    <w:rsid w:val="00B82418"/>
    <w:rsid w:val="00B82469"/>
    <w:rsid w:val="00B827A6"/>
    <w:rsid w:val="00B831CE"/>
    <w:rsid w:val="00B86677"/>
    <w:rsid w:val="00B868DC"/>
    <w:rsid w:val="00B87131"/>
    <w:rsid w:val="00B8780D"/>
    <w:rsid w:val="00B87BB7"/>
    <w:rsid w:val="00B90668"/>
    <w:rsid w:val="00B912D9"/>
    <w:rsid w:val="00B9187B"/>
    <w:rsid w:val="00B92236"/>
    <w:rsid w:val="00B93286"/>
    <w:rsid w:val="00B939B1"/>
    <w:rsid w:val="00B94728"/>
    <w:rsid w:val="00B95615"/>
    <w:rsid w:val="00B96D40"/>
    <w:rsid w:val="00B97386"/>
    <w:rsid w:val="00BA2221"/>
    <w:rsid w:val="00BA2593"/>
    <w:rsid w:val="00BA263B"/>
    <w:rsid w:val="00BA372A"/>
    <w:rsid w:val="00BA42B2"/>
    <w:rsid w:val="00BA42CE"/>
    <w:rsid w:val="00BA508C"/>
    <w:rsid w:val="00BA51E0"/>
    <w:rsid w:val="00BA58D4"/>
    <w:rsid w:val="00BA5B9E"/>
    <w:rsid w:val="00BA7758"/>
    <w:rsid w:val="00BA7C44"/>
    <w:rsid w:val="00BA7C9A"/>
    <w:rsid w:val="00BB03CE"/>
    <w:rsid w:val="00BB0C61"/>
    <w:rsid w:val="00BB1824"/>
    <w:rsid w:val="00BB203B"/>
    <w:rsid w:val="00BB2A71"/>
    <w:rsid w:val="00BB32CB"/>
    <w:rsid w:val="00BB357D"/>
    <w:rsid w:val="00BB4772"/>
    <w:rsid w:val="00BB50E4"/>
    <w:rsid w:val="00BB5181"/>
    <w:rsid w:val="00BB5AD4"/>
    <w:rsid w:val="00BB5F37"/>
    <w:rsid w:val="00BB5F8F"/>
    <w:rsid w:val="00BB657A"/>
    <w:rsid w:val="00BC1950"/>
    <w:rsid w:val="00BC1A4E"/>
    <w:rsid w:val="00BC3E2D"/>
    <w:rsid w:val="00BC4790"/>
    <w:rsid w:val="00BC48EA"/>
    <w:rsid w:val="00BC5DC7"/>
    <w:rsid w:val="00BC6B8B"/>
    <w:rsid w:val="00BC73D8"/>
    <w:rsid w:val="00BD1F58"/>
    <w:rsid w:val="00BD22FD"/>
    <w:rsid w:val="00BD28CC"/>
    <w:rsid w:val="00BD3490"/>
    <w:rsid w:val="00BD3848"/>
    <w:rsid w:val="00BD52D7"/>
    <w:rsid w:val="00BD5AD2"/>
    <w:rsid w:val="00BD741B"/>
    <w:rsid w:val="00BD755B"/>
    <w:rsid w:val="00BD75E6"/>
    <w:rsid w:val="00BD77AE"/>
    <w:rsid w:val="00BE1747"/>
    <w:rsid w:val="00BE22F3"/>
    <w:rsid w:val="00BE26F1"/>
    <w:rsid w:val="00BE3403"/>
    <w:rsid w:val="00BE5B52"/>
    <w:rsid w:val="00BE63A1"/>
    <w:rsid w:val="00BE7176"/>
    <w:rsid w:val="00BE7B8D"/>
    <w:rsid w:val="00BE7FDE"/>
    <w:rsid w:val="00BF020D"/>
    <w:rsid w:val="00BF06FB"/>
    <w:rsid w:val="00BF0993"/>
    <w:rsid w:val="00BF0A15"/>
    <w:rsid w:val="00BF10A9"/>
    <w:rsid w:val="00BF1703"/>
    <w:rsid w:val="00BF2177"/>
    <w:rsid w:val="00BF231C"/>
    <w:rsid w:val="00BF23E8"/>
    <w:rsid w:val="00BF274B"/>
    <w:rsid w:val="00BF2A2D"/>
    <w:rsid w:val="00BF31C5"/>
    <w:rsid w:val="00BF3363"/>
    <w:rsid w:val="00BF51E5"/>
    <w:rsid w:val="00BF5550"/>
    <w:rsid w:val="00BF5897"/>
    <w:rsid w:val="00BF74A6"/>
    <w:rsid w:val="00BF7BED"/>
    <w:rsid w:val="00C007B0"/>
    <w:rsid w:val="00C013AD"/>
    <w:rsid w:val="00C01B06"/>
    <w:rsid w:val="00C0207B"/>
    <w:rsid w:val="00C04904"/>
    <w:rsid w:val="00C056B3"/>
    <w:rsid w:val="00C06064"/>
    <w:rsid w:val="00C06620"/>
    <w:rsid w:val="00C066F5"/>
    <w:rsid w:val="00C07B0D"/>
    <w:rsid w:val="00C103E5"/>
    <w:rsid w:val="00C10B1A"/>
    <w:rsid w:val="00C12BA4"/>
    <w:rsid w:val="00C13319"/>
    <w:rsid w:val="00C13EE9"/>
    <w:rsid w:val="00C14B0C"/>
    <w:rsid w:val="00C15340"/>
    <w:rsid w:val="00C16DE1"/>
    <w:rsid w:val="00C20743"/>
    <w:rsid w:val="00C20D42"/>
    <w:rsid w:val="00C2145D"/>
    <w:rsid w:val="00C21540"/>
    <w:rsid w:val="00C2177C"/>
    <w:rsid w:val="00C21906"/>
    <w:rsid w:val="00C21979"/>
    <w:rsid w:val="00C21BFA"/>
    <w:rsid w:val="00C220A7"/>
    <w:rsid w:val="00C22148"/>
    <w:rsid w:val="00C22D49"/>
    <w:rsid w:val="00C22D52"/>
    <w:rsid w:val="00C22D92"/>
    <w:rsid w:val="00C237DB"/>
    <w:rsid w:val="00C24C8D"/>
    <w:rsid w:val="00C25DD3"/>
    <w:rsid w:val="00C25FE2"/>
    <w:rsid w:val="00C26B53"/>
    <w:rsid w:val="00C279B2"/>
    <w:rsid w:val="00C302D5"/>
    <w:rsid w:val="00C31351"/>
    <w:rsid w:val="00C31CD9"/>
    <w:rsid w:val="00C33E50"/>
    <w:rsid w:val="00C34C20"/>
    <w:rsid w:val="00C35A3E"/>
    <w:rsid w:val="00C36DA9"/>
    <w:rsid w:val="00C40B6F"/>
    <w:rsid w:val="00C40B86"/>
    <w:rsid w:val="00C412DC"/>
    <w:rsid w:val="00C42130"/>
    <w:rsid w:val="00C423A4"/>
    <w:rsid w:val="00C43880"/>
    <w:rsid w:val="00C43AAE"/>
    <w:rsid w:val="00C4461E"/>
    <w:rsid w:val="00C44BF5"/>
    <w:rsid w:val="00C44EA2"/>
    <w:rsid w:val="00C5071E"/>
    <w:rsid w:val="00C521D6"/>
    <w:rsid w:val="00C53053"/>
    <w:rsid w:val="00C55232"/>
    <w:rsid w:val="00C553A4"/>
    <w:rsid w:val="00C55985"/>
    <w:rsid w:val="00C55A06"/>
    <w:rsid w:val="00C55D03"/>
    <w:rsid w:val="00C601BC"/>
    <w:rsid w:val="00C62213"/>
    <w:rsid w:val="00C6253F"/>
    <w:rsid w:val="00C62A27"/>
    <w:rsid w:val="00C62AD4"/>
    <w:rsid w:val="00C6329F"/>
    <w:rsid w:val="00C63340"/>
    <w:rsid w:val="00C634D5"/>
    <w:rsid w:val="00C643F9"/>
    <w:rsid w:val="00C6487B"/>
    <w:rsid w:val="00C64BC7"/>
    <w:rsid w:val="00C64E95"/>
    <w:rsid w:val="00C658BB"/>
    <w:rsid w:val="00C65B12"/>
    <w:rsid w:val="00C65BA5"/>
    <w:rsid w:val="00C6681B"/>
    <w:rsid w:val="00C67631"/>
    <w:rsid w:val="00C67C9D"/>
    <w:rsid w:val="00C71372"/>
    <w:rsid w:val="00C71F3F"/>
    <w:rsid w:val="00C72140"/>
    <w:rsid w:val="00C72410"/>
    <w:rsid w:val="00C7287F"/>
    <w:rsid w:val="00C730DA"/>
    <w:rsid w:val="00C73551"/>
    <w:rsid w:val="00C748F7"/>
    <w:rsid w:val="00C7560B"/>
    <w:rsid w:val="00C756D9"/>
    <w:rsid w:val="00C75A89"/>
    <w:rsid w:val="00C76321"/>
    <w:rsid w:val="00C7698E"/>
    <w:rsid w:val="00C77604"/>
    <w:rsid w:val="00C77701"/>
    <w:rsid w:val="00C8015B"/>
    <w:rsid w:val="00C80CB8"/>
    <w:rsid w:val="00C819F8"/>
    <w:rsid w:val="00C81CC6"/>
    <w:rsid w:val="00C820D2"/>
    <w:rsid w:val="00C8217E"/>
    <w:rsid w:val="00C8228F"/>
    <w:rsid w:val="00C8248C"/>
    <w:rsid w:val="00C84944"/>
    <w:rsid w:val="00C84E33"/>
    <w:rsid w:val="00C84F12"/>
    <w:rsid w:val="00C855F5"/>
    <w:rsid w:val="00C86976"/>
    <w:rsid w:val="00C869E0"/>
    <w:rsid w:val="00C86A5D"/>
    <w:rsid w:val="00C86D6F"/>
    <w:rsid w:val="00C86E39"/>
    <w:rsid w:val="00C8745C"/>
    <w:rsid w:val="00C87A9B"/>
    <w:rsid w:val="00C905FC"/>
    <w:rsid w:val="00C91265"/>
    <w:rsid w:val="00C92D03"/>
    <w:rsid w:val="00C9319C"/>
    <w:rsid w:val="00C93642"/>
    <w:rsid w:val="00C93833"/>
    <w:rsid w:val="00C9435D"/>
    <w:rsid w:val="00C94DF2"/>
    <w:rsid w:val="00C96741"/>
    <w:rsid w:val="00C96BEA"/>
    <w:rsid w:val="00C96FF4"/>
    <w:rsid w:val="00C97DBB"/>
    <w:rsid w:val="00CA0174"/>
    <w:rsid w:val="00CA2D1B"/>
    <w:rsid w:val="00CA375D"/>
    <w:rsid w:val="00CA3BBC"/>
    <w:rsid w:val="00CA45B8"/>
    <w:rsid w:val="00CA4BAD"/>
    <w:rsid w:val="00CA52B6"/>
    <w:rsid w:val="00CA56B3"/>
    <w:rsid w:val="00CA662A"/>
    <w:rsid w:val="00CA6F3E"/>
    <w:rsid w:val="00CA7AFD"/>
    <w:rsid w:val="00CA7C3C"/>
    <w:rsid w:val="00CA7E4E"/>
    <w:rsid w:val="00CB0189"/>
    <w:rsid w:val="00CB05A3"/>
    <w:rsid w:val="00CB0BA2"/>
    <w:rsid w:val="00CB1A42"/>
    <w:rsid w:val="00CB1B0C"/>
    <w:rsid w:val="00CB273E"/>
    <w:rsid w:val="00CB2C0B"/>
    <w:rsid w:val="00CB2CFF"/>
    <w:rsid w:val="00CB517D"/>
    <w:rsid w:val="00CB5A0A"/>
    <w:rsid w:val="00CB6A5B"/>
    <w:rsid w:val="00CB7FA2"/>
    <w:rsid w:val="00CC038D"/>
    <w:rsid w:val="00CC08DB"/>
    <w:rsid w:val="00CC2634"/>
    <w:rsid w:val="00CC2B0A"/>
    <w:rsid w:val="00CC3824"/>
    <w:rsid w:val="00CC39FF"/>
    <w:rsid w:val="00CC3A42"/>
    <w:rsid w:val="00CC3C2F"/>
    <w:rsid w:val="00CC465B"/>
    <w:rsid w:val="00CC4AC8"/>
    <w:rsid w:val="00CC5233"/>
    <w:rsid w:val="00CC5CE3"/>
    <w:rsid w:val="00CC5CFF"/>
    <w:rsid w:val="00CC5DE6"/>
    <w:rsid w:val="00CC616A"/>
    <w:rsid w:val="00CC6E4E"/>
    <w:rsid w:val="00CC6FE8"/>
    <w:rsid w:val="00CC7202"/>
    <w:rsid w:val="00CC7C17"/>
    <w:rsid w:val="00CD062A"/>
    <w:rsid w:val="00CD13BE"/>
    <w:rsid w:val="00CD1C1A"/>
    <w:rsid w:val="00CD2808"/>
    <w:rsid w:val="00CD28BF"/>
    <w:rsid w:val="00CD2BA3"/>
    <w:rsid w:val="00CD2DA5"/>
    <w:rsid w:val="00CD32C3"/>
    <w:rsid w:val="00CD4092"/>
    <w:rsid w:val="00CD4A20"/>
    <w:rsid w:val="00CD4D71"/>
    <w:rsid w:val="00CD50A1"/>
    <w:rsid w:val="00CD519E"/>
    <w:rsid w:val="00CD561D"/>
    <w:rsid w:val="00CD6AF6"/>
    <w:rsid w:val="00CD7145"/>
    <w:rsid w:val="00CD71E0"/>
    <w:rsid w:val="00CD76B5"/>
    <w:rsid w:val="00CE053A"/>
    <w:rsid w:val="00CE0C4F"/>
    <w:rsid w:val="00CE30EA"/>
    <w:rsid w:val="00CE3DDD"/>
    <w:rsid w:val="00CE4ED9"/>
    <w:rsid w:val="00CE5C04"/>
    <w:rsid w:val="00CF048A"/>
    <w:rsid w:val="00CF155A"/>
    <w:rsid w:val="00CF1577"/>
    <w:rsid w:val="00CF2010"/>
    <w:rsid w:val="00CF2947"/>
    <w:rsid w:val="00CF345B"/>
    <w:rsid w:val="00CF686F"/>
    <w:rsid w:val="00CF6B48"/>
    <w:rsid w:val="00CF6E60"/>
    <w:rsid w:val="00CF71BE"/>
    <w:rsid w:val="00CF73FB"/>
    <w:rsid w:val="00CF7BCA"/>
    <w:rsid w:val="00D0030E"/>
    <w:rsid w:val="00D005AB"/>
    <w:rsid w:val="00D008FD"/>
    <w:rsid w:val="00D03215"/>
    <w:rsid w:val="00D0321C"/>
    <w:rsid w:val="00D035EC"/>
    <w:rsid w:val="00D0388C"/>
    <w:rsid w:val="00D039C4"/>
    <w:rsid w:val="00D03A66"/>
    <w:rsid w:val="00D04694"/>
    <w:rsid w:val="00D050C7"/>
    <w:rsid w:val="00D056BA"/>
    <w:rsid w:val="00D06AB1"/>
    <w:rsid w:val="00D06E97"/>
    <w:rsid w:val="00D072ED"/>
    <w:rsid w:val="00D07A16"/>
    <w:rsid w:val="00D1067E"/>
    <w:rsid w:val="00D10BAB"/>
    <w:rsid w:val="00D10F50"/>
    <w:rsid w:val="00D11272"/>
    <w:rsid w:val="00D126F5"/>
    <w:rsid w:val="00D12889"/>
    <w:rsid w:val="00D129B0"/>
    <w:rsid w:val="00D136FC"/>
    <w:rsid w:val="00D13A50"/>
    <w:rsid w:val="00D1409B"/>
    <w:rsid w:val="00D1489E"/>
    <w:rsid w:val="00D15442"/>
    <w:rsid w:val="00D17921"/>
    <w:rsid w:val="00D17B70"/>
    <w:rsid w:val="00D20692"/>
    <w:rsid w:val="00D20737"/>
    <w:rsid w:val="00D21E81"/>
    <w:rsid w:val="00D223DE"/>
    <w:rsid w:val="00D22A9A"/>
    <w:rsid w:val="00D22EFD"/>
    <w:rsid w:val="00D236E1"/>
    <w:rsid w:val="00D23924"/>
    <w:rsid w:val="00D2509F"/>
    <w:rsid w:val="00D2598A"/>
    <w:rsid w:val="00D25E37"/>
    <w:rsid w:val="00D25F86"/>
    <w:rsid w:val="00D2661A"/>
    <w:rsid w:val="00D2707B"/>
    <w:rsid w:val="00D2727C"/>
    <w:rsid w:val="00D27582"/>
    <w:rsid w:val="00D27EC4"/>
    <w:rsid w:val="00D3072A"/>
    <w:rsid w:val="00D32088"/>
    <w:rsid w:val="00D3223F"/>
    <w:rsid w:val="00D32719"/>
    <w:rsid w:val="00D33333"/>
    <w:rsid w:val="00D33457"/>
    <w:rsid w:val="00D33776"/>
    <w:rsid w:val="00D339EA"/>
    <w:rsid w:val="00D33A1C"/>
    <w:rsid w:val="00D35134"/>
    <w:rsid w:val="00D352A2"/>
    <w:rsid w:val="00D353CB"/>
    <w:rsid w:val="00D40D1D"/>
    <w:rsid w:val="00D40E51"/>
    <w:rsid w:val="00D411A5"/>
    <w:rsid w:val="00D415AC"/>
    <w:rsid w:val="00D4162B"/>
    <w:rsid w:val="00D42A6E"/>
    <w:rsid w:val="00D431C2"/>
    <w:rsid w:val="00D43B90"/>
    <w:rsid w:val="00D449F3"/>
    <w:rsid w:val="00D44D50"/>
    <w:rsid w:val="00D4514F"/>
    <w:rsid w:val="00D451C7"/>
    <w:rsid w:val="00D451E2"/>
    <w:rsid w:val="00D45367"/>
    <w:rsid w:val="00D45E89"/>
    <w:rsid w:val="00D45E8D"/>
    <w:rsid w:val="00D466AE"/>
    <w:rsid w:val="00D4734F"/>
    <w:rsid w:val="00D4754E"/>
    <w:rsid w:val="00D47AA6"/>
    <w:rsid w:val="00D47BAA"/>
    <w:rsid w:val="00D47D8D"/>
    <w:rsid w:val="00D51BF3"/>
    <w:rsid w:val="00D529F6"/>
    <w:rsid w:val="00D52A8E"/>
    <w:rsid w:val="00D53F21"/>
    <w:rsid w:val="00D54229"/>
    <w:rsid w:val="00D56B2B"/>
    <w:rsid w:val="00D6034A"/>
    <w:rsid w:val="00D603E9"/>
    <w:rsid w:val="00D6073C"/>
    <w:rsid w:val="00D608BD"/>
    <w:rsid w:val="00D6103F"/>
    <w:rsid w:val="00D615A8"/>
    <w:rsid w:val="00D629BA"/>
    <w:rsid w:val="00D63F2E"/>
    <w:rsid w:val="00D6479E"/>
    <w:rsid w:val="00D66846"/>
    <w:rsid w:val="00D675FB"/>
    <w:rsid w:val="00D70709"/>
    <w:rsid w:val="00D71BCB"/>
    <w:rsid w:val="00D71D82"/>
    <w:rsid w:val="00D71F25"/>
    <w:rsid w:val="00D72A9C"/>
    <w:rsid w:val="00D7600E"/>
    <w:rsid w:val="00D7697C"/>
    <w:rsid w:val="00D77031"/>
    <w:rsid w:val="00D7713F"/>
    <w:rsid w:val="00D777BC"/>
    <w:rsid w:val="00D77F17"/>
    <w:rsid w:val="00D8013D"/>
    <w:rsid w:val="00D801EB"/>
    <w:rsid w:val="00D82D88"/>
    <w:rsid w:val="00D82F62"/>
    <w:rsid w:val="00D84941"/>
    <w:rsid w:val="00D84FA1"/>
    <w:rsid w:val="00D851F0"/>
    <w:rsid w:val="00D85C7A"/>
    <w:rsid w:val="00D86D8C"/>
    <w:rsid w:val="00D86DB7"/>
    <w:rsid w:val="00D90E9F"/>
    <w:rsid w:val="00D9130C"/>
    <w:rsid w:val="00D926D0"/>
    <w:rsid w:val="00D92B32"/>
    <w:rsid w:val="00D93030"/>
    <w:rsid w:val="00D936B0"/>
    <w:rsid w:val="00D950E1"/>
    <w:rsid w:val="00D952A6"/>
    <w:rsid w:val="00D95E69"/>
    <w:rsid w:val="00D964A3"/>
    <w:rsid w:val="00D96B16"/>
    <w:rsid w:val="00D978A5"/>
    <w:rsid w:val="00D97DB6"/>
    <w:rsid w:val="00D97F99"/>
    <w:rsid w:val="00DA13C1"/>
    <w:rsid w:val="00DA1A9D"/>
    <w:rsid w:val="00DA1E08"/>
    <w:rsid w:val="00DA24E7"/>
    <w:rsid w:val="00DA24F8"/>
    <w:rsid w:val="00DA28E8"/>
    <w:rsid w:val="00DA2F96"/>
    <w:rsid w:val="00DA2FC2"/>
    <w:rsid w:val="00DA34D0"/>
    <w:rsid w:val="00DA38D3"/>
    <w:rsid w:val="00DA3932"/>
    <w:rsid w:val="00DA3AFC"/>
    <w:rsid w:val="00DA4361"/>
    <w:rsid w:val="00DA5184"/>
    <w:rsid w:val="00DA5191"/>
    <w:rsid w:val="00DA52C3"/>
    <w:rsid w:val="00DA64F8"/>
    <w:rsid w:val="00DA6521"/>
    <w:rsid w:val="00DA6C15"/>
    <w:rsid w:val="00DB0258"/>
    <w:rsid w:val="00DB38EE"/>
    <w:rsid w:val="00DB431A"/>
    <w:rsid w:val="00DB498B"/>
    <w:rsid w:val="00DB579F"/>
    <w:rsid w:val="00DB63C2"/>
    <w:rsid w:val="00DB66CA"/>
    <w:rsid w:val="00DB6B7A"/>
    <w:rsid w:val="00DB6BCA"/>
    <w:rsid w:val="00DB6E25"/>
    <w:rsid w:val="00DB73F7"/>
    <w:rsid w:val="00DC0321"/>
    <w:rsid w:val="00DC064D"/>
    <w:rsid w:val="00DC104F"/>
    <w:rsid w:val="00DC1E9B"/>
    <w:rsid w:val="00DC2B0A"/>
    <w:rsid w:val="00DC2F95"/>
    <w:rsid w:val="00DC3067"/>
    <w:rsid w:val="00DC33E4"/>
    <w:rsid w:val="00DC370B"/>
    <w:rsid w:val="00DC3CD1"/>
    <w:rsid w:val="00DC3D2D"/>
    <w:rsid w:val="00DC3FE3"/>
    <w:rsid w:val="00DC4457"/>
    <w:rsid w:val="00DC4ED1"/>
    <w:rsid w:val="00DC5B90"/>
    <w:rsid w:val="00DC6799"/>
    <w:rsid w:val="00DC686D"/>
    <w:rsid w:val="00DD00FF"/>
    <w:rsid w:val="00DD0619"/>
    <w:rsid w:val="00DD07FB"/>
    <w:rsid w:val="00DD10FA"/>
    <w:rsid w:val="00DD25C6"/>
    <w:rsid w:val="00DD4FE5"/>
    <w:rsid w:val="00DD54B0"/>
    <w:rsid w:val="00DD57EE"/>
    <w:rsid w:val="00DD6BCC"/>
    <w:rsid w:val="00DD7B2B"/>
    <w:rsid w:val="00DD7C10"/>
    <w:rsid w:val="00DE0A4B"/>
    <w:rsid w:val="00DE2410"/>
    <w:rsid w:val="00DE2939"/>
    <w:rsid w:val="00DE2A59"/>
    <w:rsid w:val="00DE2C8B"/>
    <w:rsid w:val="00DE31F7"/>
    <w:rsid w:val="00DE3FBA"/>
    <w:rsid w:val="00DE40FA"/>
    <w:rsid w:val="00DE4459"/>
    <w:rsid w:val="00DE4503"/>
    <w:rsid w:val="00DE50DB"/>
    <w:rsid w:val="00DE5EA1"/>
    <w:rsid w:val="00DE6E81"/>
    <w:rsid w:val="00DE703F"/>
    <w:rsid w:val="00DE7595"/>
    <w:rsid w:val="00DE7F24"/>
    <w:rsid w:val="00DF0773"/>
    <w:rsid w:val="00DF1961"/>
    <w:rsid w:val="00DF19A8"/>
    <w:rsid w:val="00DF30D3"/>
    <w:rsid w:val="00DF3F9C"/>
    <w:rsid w:val="00DF44DE"/>
    <w:rsid w:val="00DF5F11"/>
    <w:rsid w:val="00DF61F6"/>
    <w:rsid w:val="00DF704D"/>
    <w:rsid w:val="00DF7D77"/>
    <w:rsid w:val="00E01138"/>
    <w:rsid w:val="00E01246"/>
    <w:rsid w:val="00E02DFB"/>
    <w:rsid w:val="00E030F9"/>
    <w:rsid w:val="00E0311A"/>
    <w:rsid w:val="00E03138"/>
    <w:rsid w:val="00E03597"/>
    <w:rsid w:val="00E05DE3"/>
    <w:rsid w:val="00E06404"/>
    <w:rsid w:val="00E065D2"/>
    <w:rsid w:val="00E07274"/>
    <w:rsid w:val="00E10EF7"/>
    <w:rsid w:val="00E111BE"/>
    <w:rsid w:val="00E1122C"/>
    <w:rsid w:val="00E11655"/>
    <w:rsid w:val="00E11A85"/>
    <w:rsid w:val="00E12495"/>
    <w:rsid w:val="00E1263C"/>
    <w:rsid w:val="00E13467"/>
    <w:rsid w:val="00E14197"/>
    <w:rsid w:val="00E14595"/>
    <w:rsid w:val="00E149BE"/>
    <w:rsid w:val="00E14B7D"/>
    <w:rsid w:val="00E15CCD"/>
    <w:rsid w:val="00E160E7"/>
    <w:rsid w:val="00E202EF"/>
    <w:rsid w:val="00E21050"/>
    <w:rsid w:val="00E210B5"/>
    <w:rsid w:val="00E211AB"/>
    <w:rsid w:val="00E23D99"/>
    <w:rsid w:val="00E2497D"/>
    <w:rsid w:val="00E24A8F"/>
    <w:rsid w:val="00E2552F"/>
    <w:rsid w:val="00E25F25"/>
    <w:rsid w:val="00E261A9"/>
    <w:rsid w:val="00E2640C"/>
    <w:rsid w:val="00E26CCB"/>
    <w:rsid w:val="00E3029A"/>
    <w:rsid w:val="00E30761"/>
    <w:rsid w:val="00E30C9E"/>
    <w:rsid w:val="00E3137A"/>
    <w:rsid w:val="00E326FC"/>
    <w:rsid w:val="00E32C41"/>
    <w:rsid w:val="00E32CCF"/>
    <w:rsid w:val="00E32FD8"/>
    <w:rsid w:val="00E33A1D"/>
    <w:rsid w:val="00E34A98"/>
    <w:rsid w:val="00E35D07"/>
    <w:rsid w:val="00E35D1E"/>
    <w:rsid w:val="00E35F34"/>
    <w:rsid w:val="00E364F9"/>
    <w:rsid w:val="00E365FA"/>
    <w:rsid w:val="00E36789"/>
    <w:rsid w:val="00E3707F"/>
    <w:rsid w:val="00E40329"/>
    <w:rsid w:val="00E4192F"/>
    <w:rsid w:val="00E41B55"/>
    <w:rsid w:val="00E44A83"/>
    <w:rsid w:val="00E465EC"/>
    <w:rsid w:val="00E4687B"/>
    <w:rsid w:val="00E502C1"/>
    <w:rsid w:val="00E502DD"/>
    <w:rsid w:val="00E50D3A"/>
    <w:rsid w:val="00E50FCE"/>
    <w:rsid w:val="00E51387"/>
    <w:rsid w:val="00E51E68"/>
    <w:rsid w:val="00E52ECF"/>
    <w:rsid w:val="00E52EFD"/>
    <w:rsid w:val="00E53245"/>
    <w:rsid w:val="00E5408A"/>
    <w:rsid w:val="00E5582F"/>
    <w:rsid w:val="00E56800"/>
    <w:rsid w:val="00E6001B"/>
    <w:rsid w:val="00E60C63"/>
    <w:rsid w:val="00E61CE3"/>
    <w:rsid w:val="00E625B1"/>
    <w:rsid w:val="00E626AF"/>
    <w:rsid w:val="00E62FF9"/>
    <w:rsid w:val="00E635D6"/>
    <w:rsid w:val="00E639BC"/>
    <w:rsid w:val="00E664CC"/>
    <w:rsid w:val="00E70388"/>
    <w:rsid w:val="00E705D5"/>
    <w:rsid w:val="00E70A23"/>
    <w:rsid w:val="00E70F0C"/>
    <w:rsid w:val="00E70F92"/>
    <w:rsid w:val="00E7404E"/>
    <w:rsid w:val="00E74AEF"/>
    <w:rsid w:val="00E74C54"/>
    <w:rsid w:val="00E75055"/>
    <w:rsid w:val="00E75094"/>
    <w:rsid w:val="00E77A03"/>
    <w:rsid w:val="00E77EA2"/>
    <w:rsid w:val="00E8062D"/>
    <w:rsid w:val="00E81A69"/>
    <w:rsid w:val="00E822E8"/>
    <w:rsid w:val="00E82554"/>
    <w:rsid w:val="00E82606"/>
    <w:rsid w:val="00E83185"/>
    <w:rsid w:val="00E837B4"/>
    <w:rsid w:val="00E83C4E"/>
    <w:rsid w:val="00E846C8"/>
    <w:rsid w:val="00E84957"/>
    <w:rsid w:val="00E84A55"/>
    <w:rsid w:val="00E84AD2"/>
    <w:rsid w:val="00E84B4F"/>
    <w:rsid w:val="00E84BA4"/>
    <w:rsid w:val="00E84F2B"/>
    <w:rsid w:val="00E85BFF"/>
    <w:rsid w:val="00E86D4A"/>
    <w:rsid w:val="00E87655"/>
    <w:rsid w:val="00E90391"/>
    <w:rsid w:val="00E906C2"/>
    <w:rsid w:val="00E90753"/>
    <w:rsid w:val="00E91A2D"/>
    <w:rsid w:val="00E91D4D"/>
    <w:rsid w:val="00E92EAC"/>
    <w:rsid w:val="00E9311F"/>
    <w:rsid w:val="00E934D1"/>
    <w:rsid w:val="00E94AF0"/>
    <w:rsid w:val="00E94DF1"/>
    <w:rsid w:val="00E95D13"/>
    <w:rsid w:val="00E95DD3"/>
    <w:rsid w:val="00E9613B"/>
    <w:rsid w:val="00E969D5"/>
    <w:rsid w:val="00E96D79"/>
    <w:rsid w:val="00E97357"/>
    <w:rsid w:val="00E979A4"/>
    <w:rsid w:val="00E97BE4"/>
    <w:rsid w:val="00E97C70"/>
    <w:rsid w:val="00EA16DF"/>
    <w:rsid w:val="00EA2032"/>
    <w:rsid w:val="00EA20BD"/>
    <w:rsid w:val="00EA273C"/>
    <w:rsid w:val="00EA2CE3"/>
    <w:rsid w:val="00EA2D09"/>
    <w:rsid w:val="00EA2D1A"/>
    <w:rsid w:val="00EA2DDD"/>
    <w:rsid w:val="00EA48BD"/>
    <w:rsid w:val="00EA4CC9"/>
    <w:rsid w:val="00EA58D1"/>
    <w:rsid w:val="00EA61BC"/>
    <w:rsid w:val="00EA681A"/>
    <w:rsid w:val="00EA69A4"/>
    <w:rsid w:val="00EA735B"/>
    <w:rsid w:val="00EB14D1"/>
    <w:rsid w:val="00EB16F8"/>
    <w:rsid w:val="00EB17DE"/>
    <w:rsid w:val="00EB1E69"/>
    <w:rsid w:val="00EB2086"/>
    <w:rsid w:val="00EB2752"/>
    <w:rsid w:val="00EB458D"/>
    <w:rsid w:val="00EB4773"/>
    <w:rsid w:val="00EB495D"/>
    <w:rsid w:val="00EB5EDF"/>
    <w:rsid w:val="00EB5F77"/>
    <w:rsid w:val="00EB60FE"/>
    <w:rsid w:val="00EB74DB"/>
    <w:rsid w:val="00EC07ED"/>
    <w:rsid w:val="00EC0AFA"/>
    <w:rsid w:val="00EC0BF5"/>
    <w:rsid w:val="00EC202E"/>
    <w:rsid w:val="00EC2301"/>
    <w:rsid w:val="00EC3506"/>
    <w:rsid w:val="00EC420D"/>
    <w:rsid w:val="00EC4348"/>
    <w:rsid w:val="00EC481D"/>
    <w:rsid w:val="00EC5359"/>
    <w:rsid w:val="00EC562A"/>
    <w:rsid w:val="00EC6628"/>
    <w:rsid w:val="00EC7D74"/>
    <w:rsid w:val="00ED067A"/>
    <w:rsid w:val="00ED0CFD"/>
    <w:rsid w:val="00ED0E16"/>
    <w:rsid w:val="00ED1AF2"/>
    <w:rsid w:val="00ED2B50"/>
    <w:rsid w:val="00ED2CFA"/>
    <w:rsid w:val="00ED424F"/>
    <w:rsid w:val="00ED4BFE"/>
    <w:rsid w:val="00ED5FB0"/>
    <w:rsid w:val="00ED6510"/>
    <w:rsid w:val="00ED65A3"/>
    <w:rsid w:val="00ED66D8"/>
    <w:rsid w:val="00ED721F"/>
    <w:rsid w:val="00ED7C9C"/>
    <w:rsid w:val="00EE0350"/>
    <w:rsid w:val="00EE0719"/>
    <w:rsid w:val="00EE078B"/>
    <w:rsid w:val="00EE0E80"/>
    <w:rsid w:val="00EE116A"/>
    <w:rsid w:val="00EE1269"/>
    <w:rsid w:val="00EE1564"/>
    <w:rsid w:val="00EE2897"/>
    <w:rsid w:val="00EE2C9E"/>
    <w:rsid w:val="00EE3A3F"/>
    <w:rsid w:val="00EE3DD9"/>
    <w:rsid w:val="00EE54A6"/>
    <w:rsid w:val="00EE5885"/>
    <w:rsid w:val="00EE613F"/>
    <w:rsid w:val="00EE6EA0"/>
    <w:rsid w:val="00EE7295"/>
    <w:rsid w:val="00EE7312"/>
    <w:rsid w:val="00EE7869"/>
    <w:rsid w:val="00EF054A"/>
    <w:rsid w:val="00EF1CA4"/>
    <w:rsid w:val="00EF1F31"/>
    <w:rsid w:val="00EF264F"/>
    <w:rsid w:val="00EF3235"/>
    <w:rsid w:val="00EF38CB"/>
    <w:rsid w:val="00EF7C92"/>
    <w:rsid w:val="00EF7E19"/>
    <w:rsid w:val="00EF7E72"/>
    <w:rsid w:val="00F00A3F"/>
    <w:rsid w:val="00F0135D"/>
    <w:rsid w:val="00F029F3"/>
    <w:rsid w:val="00F0310F"/>
    <w:rsid w:val="00F0360C"/>
    <w:rsid w:val="00F03A29"/>
    <w:rsid w:val="00F04CD8"/>
    <w:rsid w:val="00F05062"/>
    <w:rsid w:val="00F0564D"/>
    <w:rsid w:val="00F05FC0"/>
    <w:rsid w:val="00F064D8"/>
    <w:rsid w:val="00F06D37"/>
    <w:rsid w:val="00F07363"/>
    <w:rsid w:val="00F07430"/>
    <w:rsid w:val="00F07B9D"/>
    <w:rsid w:val="00F10EF2"/>
    <w:rsid w:val="00F11586"/>
    <w:rsid w:val="00F1183B"/>
    <w:rsid w:val="00F11C9F"/>
    <w:rsid w:val="00F12263"/>
    <w:rsid w:val="00F12482"/>
    <w:rsid w:val="00F1409D"/>
    <w:rsid w:val="00F14214"/>
    <w:rsid w:val="00F146C0"/>
    <w:rsid w:val="00F14832"/>
    <w:rsid w:val="00F148B3"/>
    <w:rsid w:val="00F14AB1"/>
    <w:rsid w:val="00F15190"/>
    <w:rsid w:val="00F157A9"/>
    <w:rsid w:val="00F15CF0"/>
    <w:rsid w:val="00F16D23"/>
    <w:rsid w:val="00F20949"/>
    <w:rsid w:val="00F209B5"/>
    <w:rsid w:val="00F216A7"/>
    <w:rsid w:val="00F229E8"/>
    <w:rsid w:val="00F24894"/>
    <w:rsid w:val="00F25BB6"/>
    <w:rsid w:val="00F26B7E"/>
    <w:rsid w:val="00F26EF5"/>
    <w:rsid w:val="00F27A3B"/>
    <w:rsid w:val="00F30F15"/>
    <w:rsid w:val="00F33817"/>
    <w:rsid w:val="00F343BA"/>
    <w:rsid w:val="00F36610"/>
    <w:rsid w:val="00F40565"/>
    <w:rsid w:val="00F40B29"/>
    <w:rsid w:val="00F40B70"/>
    <w:rsid w:val="00F41513"/>
    <w:rsid w:val="00F420D5"/>
    <w:rsid w:val="00F43263"/>
    <w:rsid w:val="00F436B9"/>
    <w:rsid w:val="00F43F30"/>
    <w:rsid w:val="00F446D1"/>
    <w:rsid w:val="00F451EA"/>
    <w:rsid w:val="00F45349"/>
    <w:rsid w:val="00F45447"/>
    <w:rsid w:val="00F45556"/>
    <w:rsid w:val="00F456C6"/>
    <w:rsid w:val="00F4577B"/>
    <w:rsid w:val="00F46496"/>
    <w:rsid w:val="00F46943"/>
    <w:rsid w:val="00F469B9"/>
    <w:rsid w:val="00F474D0"/>
    <w:rsid w:val="00F50179"/>
    <w:rsid w:val="00F515EE"/>
    <w:rsid w:val="00F5253D"/>
    <w:rsid w:val="00F52962"/>
    <w:rsid w:val="00F53942"/>
    <w:rsid w:val="00F554DB"/>
    <w:rsid w:val="00F555AB"/>
    <w:rsid w:val="00F559E6"/>
    <w:rsid w:val="00F56511"/>
    <w:rsid w:val="00F56C0C"/>
    <w:rsid w:val="00F57518"/>
    <w:rsid w:val="00F57568"/>
    <w:rsid w:val="00F57778"/>
    <w:rsid w:val="00F60B8A"/>
    <w:rsid w:val="00F6182D"/>
    <w:rsid w:val="00F6194E"/>
    <w:rsid w:val="00F623AC"/>
    <w:rsid w:val="00F62400"/>
    <w:rsid w:val="00F6260A"/>
    <w:rsid w:val="00F62FB5"/>
    <w:rsid w:val="00F6412A"/>
    <w:rsid w:val="00F64491"/>
    <w:rsid w:val="00F647FD"/>
    <w:rsid w:val="00F64946"/>
    <w:rsid w:val="00F64D22"/>
    <w:rsid w:val="00F65893"/>
    <w:rsid w:val="00F65980"/>
    <w:rsid w:val="00F65A6B"/>
    <w:rsid w:val="00F66510"/>
    <w:rsid w:val="00F66A4A"/>
    <w:rsid w:val="00F66AA7"/>
    <w:rsid w:val="00F66C4A"/>
    <w:rsid w:val="00F70D29"/>
    <w:rsid w:val="00F71E22"/>
    <w:rsid w:val="00F72142"/>
    <w:rsid w:val="00F72AE7"/>
    <w:rsid w:val="00F74049"/>
    <w:rsid w:val="00F74274"/>
    <w:rsid w:val="00F75605"/>
    <w:rsid w:val="00F75C47"/>
    <w:rsid w:val="00F761F4"/>
    <w:rsid w:val="00F761F7"/>
    <w:rsid w:val="00F767C1"/>
    <w:rsid w:val="00F80BF3"/>
    <w:rsid w:val="00F81141"/>
    <w:rsid w:val="00F8193A"/>
    <w:rsid w:val="00F81EEB"/>
    <w:rsid w:val="00F82A74"/>
    <w:rsid w:val="00F8313D"/>
    <w:rsid w:val="00F833BA"/>
    <w:rsid w:val="00F83E3C"/>
    <w:rsid w:val="00F84FD0"/>
    <w:rsid w:val="00F859A8"/>
    <w:rsid w:val="00F86D87"/>
    <w:rsid w:val="00F86DB7"/>
    <w:rsid w:val="00F8703F"/>
    <w:rsid w:val="00F8729A"/>
    <w:rsid w:val="00F87521"/>
    <w:rsid w:val="00F90595"/>
    <w:rsid w:val="00F9108B"/>
    <w:rsid w:val="00F91349"/>
    <w:rsid w:val="00F91544"/>
    <w:rsid w:val="00F919BE"/>
    <w:rsid w:val="00F9225C"/>
    <w:rsid w:val="00F93A8A"/>
    <w:rsid w:val="00F93F16"/>
    <w:rsid w:val="00F95248"/>
    <w:rsid w:val="00F956A9"/>
    <w:rsid w:val="00F963ED"/>
    <w:rsid w:val="00F966CF"/>
    <w:rsid w:val="00F96CAE"/>
    <w:rsid w:val="00F97C99"/>
    <w:rsid w:val="00FA0ADB"/>
    <w:rsid w:val="00FA4DAC"/>
    <w:rsid w:val="00FA4EDA"/>
    <w:rsid w:val="00FA5E5B"/>
    <w:rsid w:val="00FA6591"/>
    <w:rsid w:val="00FA662D"/>
    <w:rsid w:val="00FA66D6"/>
    <w:rsid w:val="00FA6D52"/>
    <w:rsid w:val="00FA73B1"/>
    <w:rsid w:val="00FA797B"/>
    <w:rsid w:val="00FB015F"/>
    <w:rsid w:val="00FB0967"/>
    <w:rsid w:val="00FB0CB9"/>
    <w:rsid w:val="00FB231D"/>
    <w:rsid w:val="00FB331B"/>
    <w:rsid w:val="00FB387A"/>
    <w:rsid w:val="00FB452A"/>
    <w:rsid w:val="00FB45F1"/>
    <w:rsid w:val="00FB4A72"/>
    <w:rsid w:val="00FB54E8"/>
    <w:rsid w:val="00FB6780"/>
    <w:rsid w:val="00FB7054"/>
    <w:rsid w:val="00FB7319"/>
    <w:rsid w:val="00FB769D"/>
    <w:rsid w:val="00FB77AA"/>
    <w:rsid w:val="00FC17B7"/>
    <w:rsid w:val="00FC191D"/>
    <w:rsid w:val="00FC2035"/>
    <w:rsid w:val="00FC24BD"/>
    <w:rsid w:val="00FC2CB7"/>
    <w:rsid w:val="00FC4090"/>
    <w:rsid w:val="00FC5362"/>
    <w:rsid w:val="00FC55B4"/>
    <w:rsid w:val="00FC5F97"/>
    <w:rsid w:val="00FC7028"/>
    <w:rsid w:val="00FD00E6"/>
    <w:rsid w:val="00FD0650"/>
    <w:rsid w:val="00FD09A1"/>
    <w:rsid w:val="00FD176E"/>
    <w:rsid w:val="00FD2A7C"/>
    <w:rsid w:val="00FD2E18"/>
    <w:rsid w:val="00FD3120"/>
    <w:rsid w:val="00FD3367"/>
    <w:rsid w:val="00FD4A60"/>
    <w:rsid w:val="00FD545E"/>
    <w:rsid w:val="00FD59EB"/>
    <w:rsid w:val="00FD6030"/>
    <w:rsid w:val="00FD7299"/>
    <w:rsid w:val="00FE12C5"/>
    <w:rsid w:val="00FE1FBE"/>
    <w:rsid w:val="00FE2B1F"/>
    <w:rsid w:val="00FE3901"/>
    <w:rsid w:val="00FE39D3"/>
    <w:rsid w:val="00FE4BCE"/>
    <w:rsid w:val="00FE54AE"/>
    <w:rsid w:val="00FE576A"/>
    <w:rsid w:val="00FE5E37"/>
    <w:rsid w:val="00FE7E79"/>
    <w:rsid w:val="00FF1E49"/>
    <w:rsid w:val="00FF3CBD"/>
    <w:rsid w:val="00FF3E7D"/>
    <w:rsid w:val="00FF4228"/>
    <w:rsid w:val="00FF4B79"/>
    <w:rsid w:val="00FF5B99"/>
    <w:rsid w:val="00FF730C"/>
    <w:rsid w:val="00FF73B4"/>
    <w:rsid w:val="00FF73F4"/>
    <w:rsid w:val="00FF7CE4"/>
    <w:rsid w:val="00FF7E39"/>
    <w:rsid w:val="018B4200"/>
    <w:rsid w:val="02DF1744"/>
    <w:rsid w:val="03AB1DD5"/>
    <w:rsid w:val="03D12A6F"/>
    <w:rsid w:val="04FE033B"/>
    <w:rsid w:val="0641402E"/>
    <w:rsid w:val="07043D9E"/>
    <w:rsid w:val="07755C3D"/>
    <w:rsid w:val="09171B91"/>
    <w:rsid w:val="09B66248"/>
    <w:rsid w:val="0D3E7C0F"/>
    <w:rsid w:val="0DB066B9"/>
    <w:rsid w:val="0F2A0446"/>
    <w:rsid w:val="106E551C"/>
    <w:rsid w:val="107A6B0B"/>
    <w:rsid w:val="10F8745B"/>
    <w:rsid w:val="14431EEE"/>
    <w:rsid w:val="16221566"/>
    <w:rsid w:val="18315E46"/>
    <w:rsid w:val="1B2F6BA7"/>
    <w:rsid w:val="1BD53D3C"/>
    <w:rsid w:val="1E4E22E9"/>
    <w:rsid w:val="1EC838A7"/>
    <w:rsid w:val="1EF073D9"/>
    <w:rsid w:val="1FD707ED"/>
    <w:rsid w:val="1FD7D44E"/>
    <w:rsid w:val="1FFFE712"/>
    <w:rsid w:val="20C01B65"/>
    <w:rsid w:val="221338AA"/>
    <w:rsid w:val="228803DF"/>
    <w:rsid w:val="23FB782E"/>
    <w:rsid w:val="24213A15"/>
    <w:rsid w:val="24BE7881"/>
    <w:rsid w:val="26581B84"/>
    <w:rsid w:val="28427FF9"/>
    <w:rsid w:val="284303FE"/>
    <w:rsid w:val="2AF47C0D"/>
    <w:rsid w:val="2CEE1B96"/>
    <w:rsid w:val="2CFE9C0A"/>
    <w:rsid w:val="2D5E4185"/>
    <w:rsid w:val="2D8D6C0C"/>
    <w:rsid w:val="2E0334B4"/>
    <w:rsid w:val="318319E3"/>
    <w:rsid w:val="31903D89"/>
    <w:rsid w:val="31D100DF"/>
    <w:rsid w:val="33951B0C"/>
    <w:rsid w:val="35260E8C"/>
    <w:rsid w:val="381D4D95"/>
    <w:rsid w:val="383D157F"/>
    <w:rsid w:val="397905E9"/>
    <w:rsid w:val="39864D1F"/>
    <w:rsid w:val="39B55BEF"/>
    <w:rsid w:val="3AD46C94"/>
    <w:rsid w:val="3B647971"/>
    <w:rsid w:val="3D780761"/>
    <w:rsid w:val="3D78329B"/>
    <w:rsid w:val="3E8C33CA"/>
    <w:rsid w:val="3ECD2378"/>
    <w:rsid w:val="3FF358DB"/>
    <w:rsid w:val="4088248E"/>
    <w:rsid w:val="41572FC1"/>
    <w:rsid w:val="42F31BB6"/>
    <w:rsid w:val="43274384"/>
    <w:rsid w:val="45754A6B"/>
    <w:rsid w:val="47104BD4"/>
    <w:rsid w:val="4AA40BFE"/>
    <w:rsid w:val="4AC348B9"/>
    <w:rsid w:val="4BA55688"/>
    <w:rsid w:val="4D446782"/>
    <w:rsid w:val="4DC07FC6"/>
    <w:rsid w:val="4DE10ED6"/>
    <w:rsid w:val="4E4A0897"/>
    <w:rsid w:val="4F10799B"/>
    <w:rsid w:val="506109DD"/>
    <w:rsid w:val="52C26A20"/>
    <w:rsid w:val="53170164"/>
    <w:rsid w:val="53B54B10"/>
    <w:rsid w:val="53CE635F"/>
    <w:rsid w:val="54612748"/>
    <w:rsid w:val="54681522"/>
    <w:rsid w:val="55674FA4"/>
    <w:rsid w:val="583673D3"/>
    <w:rsid w:val="58F2718F"/>
    <w:rsid w:val="5B351021"/>
    <w:rsid w:val="5B543046"/>
    <w:rsid w:val="5BCF37B3"/>
    <w:rsid w:val="5D45656B"/>
    <w:rsid w:val="5DE97905"/>
    <w:rsid w:val="5E54073A"/>
    <w:rsid w:val="5EE67705"/>
    <w:rsid w:val="5F9C0CD6"/>
    <w:rsid w:val="5FE64F6D"/>
    <w:rsid w:val="5FED7A8D"/>
    <w:rsid w:val="607B12D1"/>
    <w:rsid w:val="620E1D6D"/>
    <w:rsid w:val="626E5527"/>
    <w:rsid w:val="641E524B"/>
    <w:rsid w:val="644D1E0E"/>
    <w:rsid w:val="647A412F"/>
    <w:rsid w:val="66DA164A"/>
    <w:rsid w:val="6747227C"/>
    <w:rsid w:val="68445EB4"/>
    <w:rsid w:val="68795BDC"/>
    <w:rsid w:val="69020CEC"/>
    <w:rsid w:val="6BAF15DC"/>
    <w:rsid w:val="6CC1788F"/>
    <w:rsid w:val="6CE75298"/>
    <w:rsid w:val="6E123C0E"/>
    <w:rsid w:val="6EA97BD7"/>
    <w:rsid w:val="6F0C33FE"/>
    <w:rsid w:val="726FF780"/>
    <w:rsid w:val="72ED7B87"/>
    <w:rsid w:val="75FB9709"/>
    <w:rsid w:val="76051E1C"/>
    <w:rsid w:val="76430B7C"/>
    <w:rsid w:val="77AFA24D"/>
    <w:rsid w:val="7A3551BE"/>
    <w:rsid w:val="7B567641"/>
    <w:rsid w:val="7BA248E9"/>
    <w:rsid w:val="7D61662C"/>
    <w:rsid w:val="7D8E1B42"/>
    <w:rsid w:val="7DA24CF5"/>
    <w:rsid w:val="7F8F8146"/>
    <w:rsid w:val="7FBE2CDB"/>
    <w:rsid w:val="A7554653"/>
    <w:rsid w:val="BD6F2265"/>
    <w:rsid w:val="D4B3BFBE"/>
    <w:rsid w:val="DDFF274C"/>
    <w:rsid w:val="F6FFF896"/>
    <w:rsid w:val="F953E99D"/>
    <w:rsid w:val="FA3A6B66"/>
    <w:rsid w:val="FEFFE02D"/>
    <w:rsid w:val="FF7FB1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qFormat="1" w:unhideWhenUsed="0" w:uiPriority="0" w:semiHidden="0"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zh-CN" w:eastAsia="zh-CN" w:bidi="ar-SA"/>
    </w:rPr>
  </w:style>
  <w:style w:type="paragraph" w:styleId="3">
    <w:name w:val="heading 1"/>
    <w:basedOn w:val="1"/>
    <w:next w:val="1"/>
    <w:link w:val="41"/>
    <w:qFormat/>
    <w:uiPriority w:val="9"/>
    <w:pPr>
      <w:keepNext/>
      <w:keepLines/>
      <w:widowControl w:val="0"/>
      <w:adjustRightInd w:val="0"/>
      <w:spacing w:before="340" w:after="330" w:line="578" w:lineRule="auto"/>
      <w:jc w:val="both"/>
      <w:outlineLvl w:val="0"/>
    </w:pPr>
    <w:rPr>
      <w:rFonts w:ascii="Calibri" w:hAnsi="Calibri" w:eastAsia="宋体"/>
      <w:b/>
      <w:bCs/>
      <w:kern w:val="44"/>
      <w:sz w:val="44"/>
      <w:szCs w:val="44"/>
      <w:lang w:val="en-US"/>
    </w:rPr>
  </w:style>
  <w:style w:type="paragraph" w:styleId="4">
    <w:name w:val="heading 2"/>
    <w:basedOn w:val="1"/>
    <w:next w:val="1"/>
    <w:link w:val="42"/>
    <w:qFormat/>
    <w:uiPriority w:val="9"/>
    <w:pPr>
      <w:keepNext/>
      <w:keepLines/>
      <w:widowControl w:val="0"/>
      <w:adjustRightInd w:val="0"/>
      <w:spacing w:before="260" w:after="260" w:line="416" w:lineRule="auto"/>
      <w:jc w:val="both"/>
      <w:outlineLvl w:val="1"/>
    </w:pPr>
    <w:rPr>
      <w:rFonts w:ascii="Arial" w:hAnsi="Arial" w:eastAsia="黑体"/>
      <w:b/>
      <w:bCs/>
      <w:kern w:val="2"/>
      <w:sz w:val="32"/>
      <w:szCs w:val="32"/>
      <w:lang w:val="en-US"/>
    </w:rPr>
  </w:style>
  <w:style w:type="paragraph" w:styleId="5">
    <w:name w:val="heading 3"/>
    <w:basedOn w:val="1"/>
    <w:next w:val="1"/>
    <w:link w:val="43"/>
    <w:qFormat/>
    <w:uiPriority w:val="9"/>
    <w:pPr>
      <w:keepNext/>
      <w:keepLines/>
      <w:widowControl w:val="0"/>
      <w:adjustRightInd w:val="0"/>
      <w:spacing w:before="260" w:after="260" w:line="416" w:lineRule="auto"/>
      <w:jc w:val="both"/>
      <w:outlineLvl w:val="2"/>
    </w:pPr>
    <w:rPr>
      <w:rFonts w:ascii="Calibri" w:hAnsi="Calibri" w:eastAsia="宋体"/>
      <w:b/>
      <w:bCs/>
      <w:kern w:val="2"/>
      <w:sz w:val="32"/>
      <w:szCs w:val="32"/>
      <w:lang w:val="en-US"/>
    </w:rPr>
  </w:style>
  <w:style w:type="paragraph" w:styleId="6">
    <w:name w:val="heading 4"/>
    <w:basedOn w:val="1"/>
    <w:next w:val="1"/>
    <w:link w:val="44"/>
    <w:qFormat/>
    <w:uiPriority w:val="9"/>
    <w:pPr>
      <w:keepNext/>
      <w:keepLines/>
      <w:widowControl w:val="0"/>
      <w:adjustRightInd w:val="0"/>
      <w:spacing w:before="280" w:after="290" w:line="376" w:lineRule="auto"/>
      <w:jc w:val="both"/>
      <w:outlineLvl w:val="3"/>
    </w:pPr>
    <w:rPr>
      <w:rFonts w:ascii="Arial" w:hAnsi="Arial" w:eastAsia="黑体"/>
      <w:b/>
      <w:bCs/>
      <w:kern w:val="2"/>
      <w:sz w:val="28"/>
      <w:szCs w:val="28"/>
      <w:lang w:val="en-US"/>
    </w:rPr>
  </w:style>
  <w:style w:type="paragraph" w:styleId="7">
    <w:name w:val="heading 5"/>
    <w:basedOn w:val="1"/>
    <w:next w:val="1"/>
    <w:link w:val="45"/>
    <w:qFormat/>
    <w:uiPriority w:val="0"/>
    <w:pPr>
      <w:keepNext/>
      <w:keepLines/>
      <w:widowControl w:val="0"/>
      <w:spacing w:before="280" w:after="290" w:line="376" w:lineRule="auto"/>
      <w:jc w:val="both"/>
      <w:outlineLvl w:val="4"/>
    </w:pPr>
    <w:rPr>
      <w:rFonts w:ascii="Calibri" w:hAnsi="Calibri" w:eastAsia="宋体"/>
      <w:b/>
      <w:bCs/>
      <w:kern w:val="2"/>
      <w:sz w:val="28"/>
      <w:szCs w:val="28"/>
      <w:lang w:val="en-US"/>
    </w:rPr>
  </w:style>
  <w:style w:type="paragraph" w:styleId="8">
    <w:name w:val="heading 6"/>
    <w:basedOn w:val="1"/>
    <w:next w:val="1"/>
    <w:link w:val="46"/>
    <w:qFormat/>
    <w:uiPriority w:val="0"/>
    <w:pPr>
      <w:keepNext/>
      <w:keepLines/>
      <w:widowControl w:val="0"/>
      <w:spacing w:before="240" w:after="64" w:line="320" w:lineRule="auto"/>
      <w:jc w:val="both"/>
      <w:outlineLvl w:val="5"/>
    </w:pPr>
    <w:rPr>
      <w:rFonts w:ascii="Arial" w:hAnsi="Arial" w:eastAsia="黑体"/>
      <w:b/>
      <w:bCs/>
      <w:kern w:val="2"/>
      <w:lang w:val="en-US"/>
    </w:rPr>
  </w:style>
  <w:style w:type="paragraph" w:styleId="9">
    <w:name w:val="heading 7"/>
    <w:basedOn w:val="1"/>
    <w:next w:val="1"/>
    <w:link w:val="47"/>
    <w:qFormat/>
    <w:uiPriority w:val="0"/>
    <w:pPr>
      <w:keepNext/>
      <w:keepLines/>
      <w:widowControl w:val="0"/>
      <w:spacing w:before="240" w:after="64" w:line="320" w:lineRule="auto"/>
      <w:jc w:val="both"/>
      <w:outlineLvl w:val="6"/>
    </w:pPr>
    <w:rPr>
      <w:rFonts w:ascii="Calibri" w:hAnsi="Calibri" w:eastAsia="宋体"/>
      <w:b/>
      <w:bCs/>
      <w:kern w:val="2"/>
      <w:lang w:val="en-US"/>
    </w:rPr>
  </w:style>
  <w:style w:type="paragraph" w:styleId="10">
    <w:name w:val="heading 8"/>
    <w:basedOn w:val="1"/>
    <w:next w:val="1"/>
    <w:link w:val="48"/>
    <w:qFormat/>
    <w:uiPriority w:val="0"/>
    <w:pPr>
      <w:keepNext/>
      <w:keepLines/>
      <w:widowControl w:val="0"/>
      <w:spacing w:before="240" w:after="64" w:line="320" w:lineRule="auto"/>
      <w:jc w:val="both"/>
      <w:outlineLvl w:val="7"/>
    </w:pPr>
    <w:rPr>
      <w:rFonts w:ascii="Arial" w:hAnsi="Arial" w:eastAsia="黑体"/>
      <w:kern w:val="2"/>
      <w:lang w:val="en-US"/>
    </w:rPr>
  </w:style>
  <w:style w:type="paragraph" w:styleId="11">
    <w:name w:val="heading 9"/>
    <w:basedOn w:val="1"/>
    <w:next w:val="1"/>
    <w:link w:val="49"/>
    <w:qFormat/>
    <w:uiPriority w:val="0"/>
    <w:pPr>
      <w:keepNext/>
      <w:keepLines/>
      <w:widowControl w:val="0"/>
      <w:spacing w:before="240" w:after="64" w:line="320" w:lineRule="auto"/>
      <w:jc w:val="both"/>
      <w:outlineLvl w:val="8"/>
    </w:pPr>
    <w:rPr>
      <w:rFonts w:ascii="Arial" w:hAnsi="Arial" w:eastAsia="黑体"/>
      <w:kern w:val="2"/>
      <w:sz w:val="21"/>
      <w:szCs w:val="21"/>
      <w:lang w:val="en-US"/>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3"/>
    <w:qFormat/>
    <w:uiPriority w:val="0"/>
    <w:pPr>
      <w:widowControl w:val="0"/>
      <w:adjustRightInd w:val="0"/>
      <w:spacing w:after="120" w:line="400" w:lineRule="exact"/>
      <w:jc w:val="both"/>
    </w:pPr>
    <w:rPr>
      <w:rFonts w:ascii="Calibri" w:hAnsi="Calibri" w:eastAsia="宋体"/>
      <w:kern w:val="2"/>
      <w:sz w:val="21"/>
      <w:szCs w:val="21"/>
      <w:lang w:val="en-US"/>
    </w:rPr>
  </w:style>
  <w:style w:type="paragraph" w:styleId="12">
    <w:name w:val="toc 7"/>
    <w:basedOn w:val="1"/>
    <w:next w:val="1"/>
    <w:unhideWhenUsed/>
    <w:qFormat/>
    <w:uiPriority w:val="39"/>
    <w:pPr>
      <w:widowControl w:val="0"/>
      <w:tabs>
        <w:tab w:val="right" w:leader="dot" w:pos="9344"/>
      </w:tabs>
      <w:adjustRightInd w:val="0"/>
      <w:spacing w:line="300" w:lineRule="exact"/>
      <w:ind w:left="1259"/>
      <w:jc w:val="both"/>
    </w:pPr>
    <w:rPr>
      <w:rFonts w:ascii="宋体" w:hAnsi="Calibri" w:eastAsia="宋体"/>
      <w:kern w:val="2"/>
      <w:sz w:val="21"/>
      <w:szCs w:val="21"/>
      <w:lang w:val="en-US"/>
    </w:rPr>
  </w:style>
  <w:style w:type="paragraph" w:styleId="13">
    <w:name w:val="Normal Indent"/>
    <w:basedOn w:val="1"/>
    <w:next w:val="14"/>
    <w:qFormat/>
    <w:uiPriority w:val="0"/>
    <w:pPr>
      <w:widowControl w:val="0"/>
      <w:adjustRightInd w:val="0"/>
      <w:spacing w:line="400" w:lineRule="exact"/>
      <w:ind w:firstLine="420"/>
      <w:jc w:val="both"/>
    </w:pPr>
    <w:rPr>
      <w:rFonts w:ascii="Calibri" w:hAnsi="Calibri" w:eastAsia="宋体"/>
      <w:kern w:val="2"/>
      <w:sz w:val="21"/>
      <w:szCs w:val="21"/>
      <w:lang w:val="en-US"/>
    </w:rPr>
  </w:style>
  <w:style w:type="paragraph" w:styleId="14">
    <w:name w:val="envelope return"/>
    <w:basedOn w:val="1"/>
    <w:qFormat/>
    <w:uiPriority w:val="0"/>
    <w:pPr>
      <w:widowControl w:val="0"/>
      <w:snapToGrid w:val="0"/>
      <w:jc w:val="both"/>
    </w:pPr>
    <w:rPr>
      <w:rFonts w:ascii="Arial" w:hAnsi="Arial" w:eastAsia="FangSong_GB2312" w:cstheme="minorBidi"/>
      <w:kern w:val="2"/>
      <w:sz w:val="32"/>
      <w:szCs w:val="22"/>
      <w:lang w:val="en-US"/>
    </w:rPr>
  </w:style>
  <w:style w:type="paragraph" w:styleId="15">
    <w:name w:val="Document Map"/>
    <w:basedOn w:val="1"/>
    <w:link w:val="254"/>
    <w:semiHidden/>
    <w:unhideWhenUsed/>
    <w:qFormat/>
    <w:uiPriority w:val="99"/>
    <w:pPr>
      <w:widowControl w:val="0"/>
      <w:jc w:val="both"/>
    </w:pPr>
    <w:rPr>
      <w:rFonts w:ascii="宋体" w:eastAsia="宋体"/>
      <w:kern w:val="2"/>
      <w:sz w:val="18"/>
      <w:szCs w:val="18"/>
      <w:lang w:val="en-US"/>
    </w:rPr>
  </w:style>
  <w:style w:type="paragraph" w:styleId="16">
    <w:name w:val="annotation text"/>
    <w:basedOn w:val="1"/>
    <w:link w:val="264"/>
    <w:unhideWhenUsed/>
    <w:qFormat/>
    <w:uiPriority w:val="99"/>
    <w:pPr>
      <w:widowControl w:val="0"/>
      <w:adjustRightInd w:val="0"/>
      <w:spacing w:line="400" w:lineRule="exact"/>
    </w:pPr>
    <w:rPr>
      <w:rFonts w:ascii="Calibri" w:hAnsi="Calibri" w:eastAsia="宋体"/>
      <w:kern w:val="2"/>
      <w:sz w:val="21"/>
      <w:szCs w:val="21"/>
      <w:lang w:val="en-US"/>
    </w:rPr>
  </w:style>
  <w:style w:type="paragraph" w:styleId="17">
    <w:name w:val="toc 5"/>
    <w:basedOn w:val="1"/>
    <w:next w:val="1"/>
    <w:unhideWhenUsed/>
    <w:qFormat/>
    <w:uiPriority w:val="39"/>
    <w:pPr>
      <w:widowControl w:val="0"/>
      <w:adjustRightInd w:val="0"/>
      <w:spacing w:line="400" w:lineRule="exact"/>
      <w:ind w:left="839"/>
      <w:jc w:val="both"/>
    </w:pPr>
    <w:rPr>
      <w:rFonts w:ascii="宋体" w:hAnsi="Calibri" w:eastAsia="宋体"/>
      <w:kern w:val="2"/>
      <w:sz w:val="21"/>
      <w:szCs w:val="21"/>
      <w:lang w:val="en-US"/>
    </w:rPr>
  </w:style>
  <w:style w:type="paragraph" w:styleId="18">
    <w:name w:val="toc 3"/>
    <w:basedOn w:val="1"/>
    <w:next w:val="1"/>
    <w:unhideWhenUsed/>
    <w:qFormat/>
    <w:uiPriority w:val="39"/>
    <w:pPr>
      <w:widowControl w:val="0"/>
      <w:adjustRightInd w:val="0"/>
      <w:spacing w:line="300" w:lineRule="exact"/>
      <w:ind w:left="420"/>
      <w:jc w:val="both"/>
    </w:pPr>
    <w:rPr>
      <w:rFonts w:ascii="宋体" w:hAnsi="Calibri" w:eastAsia="宋体"/>
      <w:kern w:val="2"/>
      <w:sz w:val="21"/>
      <w:szCs w:val="21"/>
      <w:lang w:val="en-US"/>
    </w:rPr>
  </w:style>
  <w:style w:type="paragraph" w:styleId="19">
    <w:name w:val="Date"/>
    <w:basedOn w:val="1"/>
    <w:next w:val="1"/>
    <w:link w:val="245"/>
    <w:semiHidden/>
    <w:qFormat/>
    <w:uiPriority w:val="0"/>
    <w:pPr>
      <w:widowControl w:val="0"/>
      <w:ind w:left="100" w:leftChars="2500"/>
      <w:jc w:val="both"/>
    </w:pPr>
    <w:rPr>
      <w:rFonts w:ascii="Calibri" w:hAnsi="Calibri" w:eastAsia="宋体"/>
      <w:sz w:val="20"/>
      <w:szCs w:val="20"/>
      <w:lang w:val="en-US"/>
    </w:rPr>
  </w:style>
  <w:style w:type="paragraph" w:styleId="20">
    <w:name w:val="Balloon Text"/>
    <w:basedOn w:val="1"/>
    <w:link w:val="52"/>
    <w:semiHidden/>
    <w:unhideWhenUsed/>
    <w:qFormat/>
    <w:uiPriority w:val="99"/>
    <w:pPr>
      <w:widowControl w:val="0"/>
      <w:adjustRightInd w:val="0"/>
      <w:spacing w:line="400" w:lineRule="exact"/>
      <w:jc w:val="both"/>
    </w:pPr>
    <w:rPr>
      <w:rFonts w:ascii="Calibri" w:hAnsi="Calibri" w:eastAsia="宋体"/>
      <w:kern w:val="2"/>
      <w:sz w:val="18"/>
      <w:szCs w:val="18"/>
      <w:lang w:val="en-US"/>
    </w:rPr>
  </w:style>
  <w:style w:type="paragraph" w:styleId="21">
    <w:name w:val="footer"/>
    <w:basedOn w:val="1"/>
    <w:link w:val="51"/>
    <w:qFormat/>
    <w:uiPriority w:val="99"/>
    <w:pPr>
      <w:widowControl w:val="0"/>
      <w:tabs>
        <w:tab w:val="center" w:pos="4153"/>
        <w:tab w:val="right" w:pos="8306"/>
      </w:tabs>
      <w:snapToGrid w:val="0"/>
      <w:jc w:val="right"/>
    </w:pPr>
    <w:rPr>
      <w:rFonts w:ascii="宋体" w:hAnsi="Calibri" w:eastAsia="宋体"/>
      <w:kern w:val="2"/>
      <w:sz w:val="18"/>
      <w:szCs w:val="18"/>
      <w:lang w:val="en-US"/>
    </w:rPr>
  </w:style>
  <w:style w:type="paragraph" w:styleId="22">
    <w:name w:val="header"/>
    <w:basedOn w:val="1"/>
    <w:link w:val="50"/>
    <w:qFormat/>
    <w:uiPriority w:val="99"/>
    <w:pPr>
      <w:widowControl w:val="0"/>
      <w:tabs>
        <w:tab w:val="center" w:pos="4153"/>
        <w:tab w:val="right" w:pos="8306"/>
      </w:tabs>
      <w:snapToGrid w:val="0"/>
      <w:spacing w:line="400" w:lineRule="exact"/>
      <w:jc w:val="center"/>
    </w:pPr>
    <w:rPr>
      <w:rFonts w:ascii="Calibri" w:hAnsi="Calibri" w:eastAsia="宋体"/>
      <w:kern w:val="2"/>
      <w:sz w:val="18"/>
      <w:szCs w:val="18"/>
      <w:lang w:val="en-US"/>
    </w:rPr>
  </w:style>
  <w:style w:type="paragraph" w:styleId="23">
    <w:name w:val="toc 1"/>
    <w:basedOn w:val="1"/>
    <w:next w:val="1"/>
    <w:unhideWhenUsed/>
    <w:qFormat/>
    <w:uiPriority w:val="39"/>
    <w:pPr>
      <w:widowControl w:val="0"/>
      <w:adjustRightInd w:val="0"/>
      <w:spacing w:line="400" w:lineRule="exact"/>
      <w:jc w:val="both"/>
    </w:pPr>
    <w:rPr>
      <w:rFonts w:ascii="宋体" w:hAnsi="Calibri" w:eastAsia="宋体"/>
      <w:kern w:val="2"/>
      <w:sz w:val="21"/>
      <w:szCs w:val="21"/>
      <w:lang w:val="en-US"/>
    </w:rPr>
  </w:style>
  <w:style w:type="paragraph" w:styleId="24">
    <w:name w:val="toc 4"/>
    <w:basedOn w:val="1"/>
    <w:next w:val="1"/>
    <w:unhideWhenUsed/>
    <w:qFormat/>
    <w:uiPriority w:val="39"/>
    <w:pPr>
      <w:widowControl w:val="0"/>
      <w:tabs>
        <w:tab w:val="right" w:leader="dot" w:pos="9344"/>
      </w:tabs>
      <w:adjustRightInd w:val="0"/>
      <w:spacing w:line="300" w:lineRule="exact"/>
      <w:ind w:left="629"/>
      <w:jc w:val="both"/>
    </w:pPr>
    <w:rPr>
      <w:rFonts w:ascii="宋体" w:hAnsi="Calibri" w:eastAsia="宋体"/>
      <w:kern w:val="2"/>
      <w:sz w:val="21"/>
      <w:szCs w:val="21"/>
      <w:lang w:val="en-US"/>
    </w:rPr>
  </w:style>
  <w:style w:type="paragraph" w:styleId="25">
    <w:name w:val="footnote text"/>
    <w:basedOn w:val="1"/>
    <w:next w:val="1"/>
    <w:link w:val="106"/>
    <w:semiHidden/>
    <w:qFormat/>
    <w:uiPriority w:val="0"/>
    <w:pPr>
      <w:widowControl w:val="0"/>
      <w:snapToGrid w:val="0"/>
      <w:spacing w:line="300" w:lineRule="exact"/>
      <w:ind w:left="400" w:leftChars="200" w:hanging="200" w:hangingChars="200"/>
    </w:pPr>
    <w:rPr>
      <w:rFonts w:ascii="宋体" w:hAnsi="Calibri" w:eastAsia="宋体"/>
      <w:kern w:val="2"/>
      <w:sz w:val="18"/>
      <w:szCs w:val="18"/>
      <w:lang w:val="en-US"/>
    </w:rPr>
  </w:style>
  <w:style w:type="paragraph" w:styleId="26">
    <w:name w:val="toc 6"/>
    <w:basedOn w:val="1"/>
    <w:next w:val="1"/>
    <w:unhideWhenUsed/>
    <w:qFormat/>
    <w:uiPriority w:val="39"/>
    <w:pPr>
      <w:widowControl w:val="0"/>
      <w:adjustRightInd w:val="0"/>
      <w:spacing w:line="300" w:lineRule="exact"/>
      <w:ind w:left="1049"/>
      <w:jc w:val="both"/>
    </w:pPr>
    <w:rPr>
      <w:rFonts w:ascii="宋体" w:hAnsi="Calibri" w:eastAsia="宋体"/>
      <w:kern w:val="2"/>
      <w:sz w:val="21"/>
      <w:szCs w:val="21"/>
      <w:lang w:val="en-US"/>
    </w:rPr>
  </w:style>
  <w:style w:type="paragraph" w:styleId="27">
    <w:name w:val="table of figures"/>
    <w:basedOn w:val="1"/>
    <w:next w:val="1"/>
    <w:semiHidden/>
    <w:qFormat/>
    <w:uiPriority w:val="0"/>
    <w:pPr>
      <w:widowControl w:val="0"/>
    </w:pPr>
    <w:rPr>
      <w:rFonts w:ascii="Calibri" w:hAnsi="Calibri" w:eastAsia="宋体"/>
      <w:kern w:val="2"/>
      <w:sz w:val="21"/>
      <w:lang w:val="en-US"/>
    </w:rPr>
  </w:style>
  <w:style w:type="paragraph" w:styleId="28">
    <w:name w:val="toc 2"/>
    <w:basedOn w:val="1"/>
    <w:next w:val="1"/>
    <w:unhideWhenUsed/>
    <w:qFormat/>
    <w:uiPriority w:val="39"/>
    <w:pPr>
      <w:widowControl w:val="0"/>
      <w:tabs>
        <w:tab w:val="right" w:leader="dot" w:pos="9344"/>
      </w:tabs>
      <w:adjustRightInd w:val="0"/>
      <w:spacing w:line="300" w:lineRule="exact"/>
      <w:ind w:left="210"/>
      <w:jc w:val="both"/>
    </w:pPr>
    <w:rPr>
      <w:rFonts w:ascii="宋体" w:hAnsi="Calibri" w:eastAsia="宋体"/>
      <w:kern w:val="2"/>
      <w:sz w:val="21"/>
      <w:szCs w:val="21"/>
      <w:lang w:val="en-US"/>
    </w:rPr>
  </w:style>
  <w:style w:type="paragraph" w:styleId="29">
    <w:name w:val="Title"/>
    <w:basedOn w:val="1"/>
    <w:link w:val="55"/>
    <w:qFormat/>
    <w:uiPriority w:val="0"/>
    <w:pPr>
      <w:widowControl w:val="0"/>
      <w:adjustRightInd w:val="0"/>
      <w:spacing w:before="240" w:after="60" w:line="400" w:lineRule="exact"/>
      <w:jc w:val="center"/>
      <w:outlineLvl w:val="0"/>
    </w:pPr>
    <w:rPr>
      <w:rFonts w:ascii="Arial" w:hAnsi="Arial" w:eastAsia="宋体" w:cs="Arial"/>
      <w:b/>
      <w:bCs/>
      <w:kern w:val="2"/>
      <w:sz w:val="32"/>
      <w:szCs w:val="32"/>
      <w:lang w:val="en-US"/>
    </w:rPr>
  </w:style>
  <w:style w:type="paragraph" w:styleId="30">
    <w:name w:val="annotation subject"/>
    <w:basedOn w:val="16"/>
    <w:next w:val="16"/>
    <w:link w:val="267"/>
    <w:semiHidden/>
    <w:unhideWhenUsed/>
    <w:qFormat/>
    <w:uiPriority w:val="99"/>
    <w:pPr>
      <w:adjustRightInd/>
      <w:spacing w:line="240" w:lineRule="auto"/>
    </w:pPr>
    <w:rPr>
      <w:rFonts w:ascii="Times New Roman" w:hAnsi="Times New Roman" w:eastAsia="FangSong_GB2312"/>
      <w:b/>
      <w:bCs/>
      <w:sz w:val="32"/>
      <w:szCs w:val="32"/>
    </w:rPr>
  </w:style>
  <w:style w:type="table" w:styleId="32">
    <w:name w:val="Table Grid"/>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22"/>
    <w:rPr>
      <w:b/>
      <w:bCs/>
    </w:rPr>
  </w:style>
  <w:style w:type="character" w:styleId="35">
    <w:name w:val="page number"/>
    <w:qFormat/>
    <w:uiPriority w:val="0"/>
    <w:rPr>
      <w:rFonts w:ascii="宋体" w:hAnsi="Times New Roman" w:eastAsia="宋体"/>
      <w:sz w:val="18"/>
    </w:rPr>
  </w:style>
  <w:style w:type="character" w:styleId="36">
    <w:name w:val="FollowedHyperlink"/>
    <w:semiHidden/>
    <w:unhideWhenUsed/>
    <w:qFormat/>
    <w:uiPriority w:val="99"/>
    <w:rPr>
      <w:color w:val="954F72"/>
      <w:u w:val="single"/>
    </w:rPr>
  </w:style>
  <w:style w:type="character" w:styleId="37">
    <w:name w:val="Emphasis"/>
    <w:qFormat/>
    <w:uiPriority w:val="20"/>
    <w:rPr>
      <w:i/>
      <w:iCs/>
    </w:rPr>
  </w:style>
  <w:style w:type="character" w:styleId="38">
    <w:name w:val="Hyperlink"/>
    <w:qFormat/>
    <w:uiPriority w:val="99"/>
    <w:rPr>
      <w:rFonts w:ascii="宋体" w:hAnsi="Times New Roman" w:eastAsia="宋体"/>
      <w:color w:val="auto"/>
      <w:spacing w:val="0"/>
      <w:w w:val="100"/>
      <w:position w:val="0"/>
      <w:sz w:val="21"/>
      <w:u w:val="none"/>
      <w:vertAlign w:val="baseline"/>
    </w:rPr>
  </w:style>
  <w:style w:type="character" w:styleId="39">
    <w:name w:val="annotation reference"/>
    <w:semiHidden/>
    <w:unhideWhenUsed/>
    <w:qFormat/>
    <w:uiPriority w:val="99"/>
    <w:rPr>
      <w:sz w:val="21"/>
      <w:szCs w:val="21"/>
    </w:rPr>
  </w:style>
  <w:style w:type="character" w:styleId="40">
    <w:name w:val="footnote reference"/>
    <w:semiHidden/>
    <w:qFormat/>
    <w:uiPriority w:val="0"/>
    <w:rPr>
      <w:rFonts w:ascii="宋体" w:hAnsi="宋体" w:eastAsia="宋体" w:cs="Times New Roman"/>
      <w:spacing w:val="0"/>
      <w:sz w:val="18"/>
      <w:vertAlign w:val="superscript"/>
    </w:rPr>
  </w:style>
  <w:style w:type="character" w:customStyle="1" w:styleId="41">
    <w:name w:val="Heading 1 Char"/>
    <w:link w:val="3"/>
    <w:qFormat/>
    <w:uiPriority w:val="0"/>
    <w:rPr>
      <w:b/>
      <w:bCs/>
      <w:kern w:val="44"/>
      <w:sz w:val="44"/>
      <w:szCs w:val="44"/>
    </w:rPr>
  </w:style>
  <w:style w:type="character" w:customStyle="1" w:styleId="42">
    <w:name w:val="Heading 2 Char"/>
    <w:link w:val="4"/>
    <w:qFormat/>
    <w:uiPriority w:val="0"/>
    <w:rPr>
      <w:rFonts w:ascii="Arial" w:hAnsi="Arial" w:eastAsia="黑体"/>
      <w:b/>
      <w:bCs/>
      <w:kern w:val="2"/>
      <w:sz w:val="32"/>
      <w:szCs w:val="32"/>
    </w:rPr>
  </w:style>
  <w:style w:type="character" w:customStyle="1" w:styleId="43">
    <w:name w:val="Heading 3 Char"/>
    <w:link w:val="5"/>
    <w:qFormat/>
    <w:uiPriority w:val="0"/>
    <w:rPr>
      <w:b/>
      <w:bCs/>
      <w:kern w:val="2"/>
      <w:sz w:val="32"/>
      <w:szCs w:val="32"/>
    </w:rPr>
  </w:style>
  <w:style w:type="character" w:customStyle="1" w:styleId="44">
    <w:name w:val="Heading 4 Char"/>
    <w:link w:val="6"/>
    <w:qFormat/>
    <w:uiPriority w:val="0"/>
    <w:rPr>
      <w:rFonts w:ascii="Arial" w:hAnsi="Arial" w:eastAsia="黑体"/>
      <w:b/>
      <w:bCs/>
      <w:kern w:val="2"/>
      <w:sz w:val="28"/>
      <w:szCs w:val="28"/>
    </w:rPr>
  </w:style>
  <w:style w:type="character" w:customStyle="1" w:styleId="45">
    <w:name w:val="Heading 5 Char"/>
    <w:link w:val="7"/>
    <w:qFormat/>
    <w:uiPriority w:val="0"/>
    <w:rPr>
      <w:b/>
      <w:bCs/>
      <w:kern w:val="2"/>
      <w:sz w:val="28"/>
      <w:szCs w:val="28"/>
    </w:rPr>
  </w:style>
  <w:style w:type="character" w:customStyle="1" w:styleId="46">
    <w:name w:val="Heading 6 Char"/>
    <w:link w:val="8"/>
    <w:qFormat/>
    <w:uiPriority w:val="0"/>
    <w:rPr>
      <w:rFonts w:ascii="Arial" w:hAnsi="Arial" w:eastAsia="黑体"/>
      <w:b/>
      <w:bCs/>
      <w:kern w:val="2"/>
      <w:sz w:val="24"/>
      <w:szCs w:val="24"/>
    </w:rPr>
  </w:style>
  <w:style w:type="character" w:customStyle="1" w:styleId="47">
    <w:name w:val="Heading 7 Char"/>
    <w:link w:val="9"/>
    <w:qFormat/>
    <w:uiPriority w:val="0"/>
    <w:rPr>
      <w:b/>
      <w:bCs/>
      <w:kern w:val="2"/>
      <w:sz w:val="24"/>
      <w:szCs w:val="24"/>
    </w:rPr>
  </w:style>
  <w:style w:type="character" w:customStyle="1" w:styleId="48">
    <w:name w:val="Heading 8 Char"/>
    <w:link w:val="10"/>
    <w:qFormat/>
    <w:uiPriority w:val="0"/>
    <w:rPr>
      <w:rFonts w:ascii="Arial" w:hAnsi="Arial" w:eastAsia="黑体"/>
      <w:kern w:val="2"/>
      <w:sz w:val="24"/>
      <w:szCs w:val="24"/>
    </w:rPr>
  </w:style>
  <w:style w:type="character" w:customStyle="1" w:styleId="49">
    <w:name w:val="Heading 9 Char"/>
    <w:link w:val="11"/>
    <w:qFormat/>
    <w:uiPriority w:val="0"/>
    <w:rPr>
      <w:rFonts w:ascii="Arial" w:hAnsi="Arial" w:eastAsia="黑体"/>
      <w:kern w:val="2"/>
      <w:sz w:val="21"/>
      <w:szCs w:val="21"/>
    </w:rPr>
  </w:style>
  <w:style w:type="character" w:customStyle="1" w:styleId="50">
    <w:name w:val="Header Char"/>
    <w:link w:val="22"/>
    <w:qFormat/>
    <w:uiPriority w:val="99"/>
    <w:rPr>
      <w:kern w:val="2"/>
      <w:sz w:val="18"/>
      <w:szCs w:val="18"/>
    </w:rPr>
  </w:style>
  <w:style w:type="character" w:customStyle="1" w:styleId="51">
    <w:name w:val="Footer Char"/>
    <w:link w:val="21"/>
    <w:qFormat/>
    <w:uiPriority w:val="99"/>
    <w:rPr>
      <w:rFonts w:ascii="宋体"/>
      <w:kern w:val="2"/>
      <w:sz w:val="18"/>
      <w:szCs w:val="18"/>
    </w:rPr>
  </w:style>
  <w:style w:type="character" w:customStyle="1" w:styleId="52">
    <w:name w:val="Balloon Text Char"/>
    <w:link w:val="20"/>
    <w:semiHidden/>
    <w:qFormat/>
    <w:uiPriority w:val="99"/>
    <w:rPr>
      <w:kern w:val="2"/>
      <w:sz w:val="18"/>
      <w:szCs w:val="18"/>
    </w:rPr>
  </w:style>
  <w:style w:type="paragraph" w:styleId="53">
    <w:name w:val="Quote"/>
    <w:basedOn w:val="1"/>
    <w:next w:val="1"/>
    <w:link w:val="54"/>
    <w:qFormat/>
    <w:uiPriority w:val="29"/>
    <w:pPr>
      <w:widowControl w:val="0"/>
      <w:adjustRightInd w:val="0"/>
      <w:spacing w:line="400" w:lineRule="exact"/>
      <w:jc w:val="both"/>
    </w:pPr>
    <w:rPr>
      <w:rFonts w:ascii="Calibri" w:hAnsi="Calibri" w:eastAsia="宋体"/>
      <w:i/>
      <w:iCs/>
      <w:color w:val="000000"/>
      <w:kern w:val="2"/>
      <w:sz w:val="21"/>
      <w:szCs w:val="21"/>
      <w:lang w:val="en-US"/>
    </w:rPr>
  </w:style>
  <w:style w:type="character" w:customStyle="1" w:styleId="54">
    <w:name w:val="Quote Char"/>
    <w:link w:val="53"/>
    <w:qFormat/>
    <w:uiPriority w:val="29"/>
    <w:rPr>
      <w:i/>
      <w:iCs/>
      <w:color w:val="000000"/>
      <w:kern w:val="2"/>
      <w:sz w:val="21"/>
      <w:szCs w:val="21"/>
    </w:rPr>
  </w:style>
  <w:style w:type="character" w:customStyle="1" w:styleId="55">
    <w:name w:val="Title Char"/>
    <w:link w:val="29"/>
    <w:qFormat/>
    <w:uiPriority w:val="0"/>
    <w:rPr>
      <w:rFonts w:ascii="Arial" w:hAnsi="Arial" w:cs="Arial"/>
      <w:b/>
      <w:bCs/>
      <w:kern w:val="2"/>
      <w:sz w:val="32"/>
      <w:szCs w:val="32"/>
    </w:rPr>
  </w:style>
  <w:style w:type="paragraph" w:customStyle="1" w:styleId="5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8">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9">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0">
    <w:name w:val="标准书眉一"/>
    <w:qFormat/>
    <w:uiPriority w:val="0"/>
    <w:pPr>
      <w:jc w:val="both"/>
    </w:pPr>
    <w:rPr>
      <w:rFonts w:ascii="Times New Roman" w:hAnsi="Times New Roman" w:eastAsia="宋体" w:cs="Times New Roman"/>
      <w:lang w:val="en-US" w:eastAsia="zh-CN" w:bidi="ar-SA"/>
    </w:rPr>
  </w:style>
  <w:style w:type="paragraph" w:customStyle="1" w:styleId="61">
    <w:name w:val="标准文件_ICS"/>
    <w:basedOn w:val="1"/>
    <w:qFormat/>
    <w:uiPriority w:val="0"/>
    <w:pPr>
      <w:widowControl w:val="0"/>
      <w:adjustRightInd w:val="0"/>
      <w:spacing w:line="0" w:lineRule="atLeast"/>
      <w:jc w:val="both"/>
    </w:pPr>
    <w:rPr>
      <w:rFonts w:ascii="黑体" w:hAnsi="宋体" w:eastAsia="黑体"/>
      <w:kern w:val="2"/>
      <w:sz w:val="21"/>
      <w:szCs w:val="21"/>
      <w:lang w:val="en-US"/>
    </w:rPr>
  </w:style>
  <w:style w:type="paragraph" w:customStyle="1" w:styleId="62">
    <w:name w:val="标准文件_标准正文"/>
    <w:basedOn w:val="1"/>
    <w:next w:val="63"/>
    <w:link w:val="280"/>
    <w:qFormat/>
    <w:uiPriority w:val="0"/>
    <w:pPr>
      <w:widowControl w:val="0"/>
      <w:adjustRightInd w:val="0"/>
      <w:snapToGrid w:val="0"/>
      <w:spacing w:line="400" w:lineRule="exact"/>
      <w:ind w:firstLine="200" w:firstLineChars="200"/>
      <w:jc w:val="both"/>
    </w:pPr>
    <w:rPr>
      <w:rFonts w:ascii="Calibri" w:hAnsi="Calibri" w:eastAsia="宋体"/>
      <w:sz w:val="21"/>
      <w:szCs w:val="21"/>
      <w:lang w:val="en-US"/>
    </w:rPr>
  </w:style>
  <w:style w:type="paragraph" w:customStyle="1" w:styleId="63">
    <w:name w:val="标准文件_段"/>
    <w:link w:val="19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
    <w:name w:val="标准文件_版本"/>
    <w:basedOn w:val="62"/>
    <w:link w:val="279"/>
    <w:qFormat/>
    <w:uiPriority w:val="0"/>
    <w:pPr>
      <w:adjustRightInd/>
      <w:snapToGrid/>
      <w:ind w:firstLine="0" w:firstLineChars="0"/>
    </w:pPr>
    <w:rPr>
      <w:rFonts w:ascii="宋体" w:hAnsi="宋体"/>
      <w:kern w:val="2"/>
    </w:rPr>
  </w:style>
  <w:style w:type="paragraph" w:customStyle="1" w:styleId="65">
    <w:name w:val="标准文件_标准部门"/>
    <w:basedOn w:val="1"/>
    <w:qFormat/>
    <w:uiPriority w:val="0"/>
    <w:pPr>
      <w:widowControl w:val="0"/>
      <w:adjustRightInd w:val="0"/>
      <w:spacing w:line="400" w:lineRule="exact"/>
      <w:jc w:val="center"/>
    </w:pPr>
    <w:rPr>
      <w:rFonts w:ascii="黑体" w:hAnsi="Calibri" w:eastAsia="黑体"/>
      <w:sz w:val="44"/>
      <w:szCs w:val="21"/>
      <w:lang w:val="en-US"/>
    </w:rPr>
  </w:style>
  <w:style w:type="paragraph" w:customStyle="1" w:styleId="66">
    <w:name w:val="标准文件_标准代替"/>
    <w:basedOn w:val="1"/>
    <w:next w:val="1"/>
    <w:qFormat/>
    <w:uiPriority w:val="0"/>
    <w:pPr>
      <w:widowControl w:val="0"/>
      <w:adjustRightInd w:val="0"/>
      <w:spacing w:line="310" w:lineRule="exact"/>
      <w:jc w:val="right"/>
    </w:pPr>
    <w:rPr>
      <w:rFonts w:ascii="宋体" w:hAnsi="宋体" w:eastAsia="宋体"/>
      <w:sz w:val="21"/>
      <w:szCs w:val="21"/>
      <w:lang w:val="en-US"/>
    </w:rPr>
  </w:style>
  <w:style w:type="paragraph" w:customStyle="1" w:styleId="67">
    <w:name w:val="标准文件_标准名称标题"/>
    <w:basedOn w:val="1"/>
    <w:next w:val="1"/>
    <w:qFormat/>
    <w:uiPriority w:val="0"/>
    <w:pPr>
      <w:shd w:val="clear" w:color="FFFFFF" w:fill="FFFFFF"/>
      <w:spacing w:before="640" w:after="100" w:line="400" w:lineRule="exact"/>
      <w:jc w:val="center"/>
    </w:pPr>
    <w:rPr>
      <w:rFonts w:ascii="黑体" w:hAnsi="Calibri" w:eastAsia="黑体"/>
      <w:sz w:val="32"/>
      <w:szCs w:val="21"/>
      <w:lang w:val="en-US"/>
    </w:rPr>
  </w:style>
  <w:style w:type="paragraph" w:customStyle="1" w:styleId="68">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9">
    <w:name w:val="标准文件_页眉偶数页"/>
    <w:basedOn w:val="68"/>
    <w:next w:val="1"/>
    <w:qFormat/>
    <w:uiPriority w:val="0"/>
    <w:pPr>
      <w:jc w:val="left"/>
    </w:pPr>
  </w:style>
  <w:style w:type="paragraph" w:customStyle="1" w:styleId="70">
    <w:name w:val="标准文件_参考文献标题"/>
    <w:basedOn w:val="1"/>
    <w:next w:val="1"/>
    <w:qFormat/>
    <w:uiPriority w:val="0"/>
    <w:pPr>
      <w:shd w:val="clear" w:color="FFFFFF" w:fill="FFFFFF"/>
      <w:spacing w:before="580" w:afterLines="50"/>
      <w:jc w:val="center"/>
      <w:outlineLvl w:val="0"/>
    </w:pPr>
    <w:rPr>
      <w:rFonts w:ascii="黑体" w:hAnsi="Calibri" w:eastAsia="黑体"/>
      <w:sz w:val="21"/>
      <w:szCs w:val="21"/>
      <w:lang w:val="en-US"/>
    </w:rPr>
  </w:style>
  <w:style w:type="paragraph" w:customStyle="1" w:styleId="71">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2">
    <w:name w:val="标准文件_二级条标题"/>
    <w:next w:val="63"/>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73">
    <w:name w:val="标准文件_发布"/>
    <w:qFormat/>
    <w:uiPriority w:val="0"/>
    <w:rPr>
      <w:rFonts w:ascii="黑体" w:eastAsia="黑体"/>
      <w:spacing w:val="0"/>
      <w:w w:val="100"/>
      <w:position w:val="3"/>
      <w:sz w:val="28"/>
    </w:rPr>
  </w:style>
  <w:style w:type="paragraph" w:customStyle="1" w:styleId="74">
    <w:name w:val="标准文件_方框数字列项"/>
    <w:basedOn w:val="63"/>
    <w:qFormat/>
    <w:uiPriority w:val="0"/>
    <w:pPr>
      <w:numPr>
        <w:ilvl w:val="0"/>
        <w:numId w:val="3"/>
      </w:numPr>
      <w:ind w:firstLine="0" w:firstLineChars="0"/>
    </w:pPr>
  </w:style>
  <w:style w:type="paragraph" w:customStyle="1" w:styleId="75">
    <w:name w:val="标准文件_封面标准编号"/>
    <w:basedOn w:val="1"/>
    <w:next w:val="66"/>
    <w:qFormat/>
    <w:uiPriority w:val="0"/>
    <w:pPr>
      <w:widowControl w:val="0"/>
      <w:adjustRightInd w:val="0"/>
      <w:spacing w:line="310" w:lineRule="exact"/>
      <w:jc w:val="right"/>
    </w:pPr>
    <w:rPr>
      <w:rFonts w:ascii="黑体" w:hAnsi="Calibri" w:eastAsia="黑体"/>
      <w:sz w:val="28"/>
      <w:szCs w:val="21"/>
      <w:lang w:val="en-US"/>
    </w:rPr>
  </w:style>
  <w:style w:type="paragraph" w:customStyle="1" w:styleId="76">
    <w:name w:val="标准文件_封面标准分类号"/>
    <w:basedOn w:val="1"/>
    <w:qFormat/>
    <w:uiPriority w:val="0"/>
    <w:pPr>
      <w:widowControl w:val="0"/>
      <w:adjustRightInd w:val="0"/>
      <w:spacing w:line="400" w:lineRule="exact"/>
      <w:jc w:val="both"/>
    </w:pPr>
    <w:rPr>
      <w:rFonts w:ascii="黑体" w:hAnsi="Calibri" w:eastAsia="黑体"/>
      <w:b/>
      <w:sz w:val="28"/>
      <w:szCs w:val="21"/>
      <w:lang w:val="en-US"/>
    </w:rPr>
  </w:style>
  <w:style w:type="paragraph" w:customStyle="1" w:styleId="77">
    <w:name w:val="标准文件_封面标准名称"/>
    <w:basedOn w:val="1"/>
    <w:qFormat/>
    <w:uiPriority w:val="0"/>
    <w:pPr>
      <w:widowControl w:val="0"/>
      <w:adjustRightInd w:val="0"/>
      <w:jc w:val="center"/>
    </w:pPr>
    <w:rPr>
      <w:rFonts w:ascii="黑体" w:hAnsi="Calibri" w:eastAsia="黑体"/>
      <w:sz w:val="52"/>
      <w:szCs w:val="21"/>
      <w:lang w:val="en-US"/>
    </w:rPr>
  </w:style>
  <w:style w:type="paragraph" w:customStyle="1" w:styleId="78">
    <w:name w:val="标准文件_封面标准英文名称"/>
    <w:basedOn w:val="1"/>
    <w:qFormat/>
    <w:uiPriority w:val="0"/>
    <w:pPr>
      <w:widowControl w:val="0"/>
      <w:adjustRightInd w:val="0"/>
      <w:jc w:val="center"/>
    </w:pPr>
    <w:rPr>
      <w:rFonts w:ascii="黑体" w:hAnsi="Calibri" w:eastAsia="黑体"/>
      <w:b/>
      <w:kern w:val="2"/>
      <w:sz w:val="28"/>
      <w:szCs w:val="21"/>
      <w:lang w:val="en-US"/>
    </w:rPr>
  </w:style>
  <w:style w:type="paragraph" w:customStyle="1" w:styleId="79">
    <w:name w:val="标准文件_封面发布日期"/>
    <w:basedOn w:val="1"/>
    <w:qFormat/>
    <w:uiPriority w:val="0"/>
    <w:pPr>
      <w:widowControl w:val="0"/>
      <w:adjustRightInd w:val="0"/>
      <w:spacing w:line="310" w:lineRule="exact"/>
      <w:jc w:val="both"/>
    </w:pPr>
    <w:rPr>
      <w:rFonts w:ascii="黑体" w:hAnsi="Calibri" w:eastAsia="黑体"/>
      <w:sz w:val="28"/>
      <w:szCs w:val="21"/>
      <w:lang w:val="en-US"/>
    </w:rPr>
  </w:style>
  <w:style w:type="paragraph" w:customStyle="1" w:styleId="80">
    <w:name w:val="标准文件_封面密级"/>
    <w:basedOn w:val="1"/>
    <w:qFormat/>
    <w:uiPriority w:val="0"/>
    <w:pPr>
      <w:widowControl w:val="0"/>
      <w:adjustRightInd w:val="0"/>
      <w:spacing w:line="400" w:lineRule="exact"/>
      <w:jc w:val="both"/>
    </w:pPr>
    <w:rPr>
      <w:rFonts w:ascii="Calibri" w:hAnsi="Calibri" w:eastAsia="黑体"/>
      <w:kern w:val="2"/>
      <w:sz w:val="32"/>
      <w:szCs w:val="21"/>
      <w:lang w:val="en-US"/>
    </w:rPr>
  </w:style>
  <w:style w:type="paragraph" w:customStyle="1" w:styleId="81">
    <w:name w:val="标准文件_封面实施日期"/>
    <w:basedOn w:val="1"/>
    <w:qFormat/>
    <w:uiPriority w:val="0"/>
    <w:pPr>
      <w:widowControl w:val="0"/>
      <w:adjustRightInd w:val="0"/>
      <w:spacing w:line="310" w:lineRule="exact"/>
      <w:jc w:val="right"/>
    </w:pPr>
    <w:rPr>
      <w:rFonts w:ascii="黑体" w:hAnsi="Calibri" w:eastAsia="黑体"/>
      <w:kern w:val="2"/>
      <w:sz w:val="28"/>
      <w:szCs w:val="21"/>
      <w:lang w:val="en-US"/>
    </w:rPr>
  </w:style>
  <w:style w:type="paragraph" w:customStyle="1" w:styleId="82">
    <w:name w:val="标准文件_封面抬头"/>
    <w:basedOn w:val="63"/>
    <w:qFormat/>
    <w:uiPriority w:val="0"/>
    <w:pPr>
      <w:adjustRightInd w:val="0"/>
      <w:spacing w:line="800" w:lineRule="exact"/>
      <w:ind w:firstLine="0" w:firstLineChars="0"/>
      <w:jc w:val="distribute"/>
    </w:pPr>
    <w:rPr>
      <w:rFonts w:ascii="黑体" w:eastAsia="黑体"/>
      <w:b/>
      <w:sz w:val="64"/>
    </w:rPr>
  </w:style>
  <w:style w:type="paragraph" w:customStyle="1" w:styleId="83">
    <w:name w:val="标准文件_附录标识"/>
    <w:next w:val="63"/>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4">
    <w:name w:val="标准文件_附录表标题"/>
    <w:next w:val="63"/>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5">
    <w:name w:val="标准文件_附录一级条标题"/>
    <w:next w:val="63"/>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6">
    <w:name w:val="标准文件_附录二级条标题"/>
    <w:basedOn w:val="85"/>
    <w:next w:val="63"/>
    <w:qFormat/>
    <w:uiPriority w:val="0"/>
    <w:pPr>
      <w:widowControl/>
      <w:numPr>
        <w:ilvl w:val="2"/>
      </w:numPr>
      <w:wordWrap w:val="0"/>
      <w:overflowPunct w:val="0"/>
      <w:autoSpaceDE w:val="0"/>
      <w:autoSpaceDN w:val="0"/>
      <w:textAlignment w:val="baseline"/>
      <w:outlineLvl w:val="3"/>
    </w:pPr>
  </w:style>
  <w:style w:type="paragraph" w:customStyle="1" w:styleId="87">
    <w:name w:val="标准文件_附录公式"/>
    <w:basedOn w:val="62"/>
    <w:next w:val="62"/>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8">
    <w:name w:val="标准文件_附录三级条标题"/>
    <w:next w:val="63"/>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9">
    <w:name w:val="标准文件_附录四级条标题"/>
    <w:next w:val="63"/>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90">
    <w:name w:val="标准文件_附录图标题"/>
    <w:next w:val="63"/>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91">
    <w:name w:val="标准文件_附录五级条标题"/>
    <w:next w:val="63"/>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92">
    <w:name w:val="标准文件_附录英文标识"/>
    <w:next w:val="2"/>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3">
    <w:name w:val="Body Text Char"/>
    <w:link w:val="2"/>
    <w:qFormat/>
    <w:uiPriority w:val="0"/>
    <w:rPr>
      <w:kern w:val="2"/>
      <w:sz w:val="21"/>
      <w:szCs w:val="21"/>
    </w:rPr>
  </w:style>
  <w:style w:type="paragraph" w:customStyle="1" w:styleId="94">
    <w:name w:val="标准文件_附录章标题"/>
    <w:next w:val="63"/>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5">
    <w:name w:val="标准文件_公式后的破折号"/>
    <w:basedOn w:val="63"/>
    <w:next w:val="63"/>
    <w:qFormat/>
    <w:uiPriority w:val="0"/>
    <w:pPr>
      <w:ind w:left="488" w:leftChars="200" w:hanging="289" w:hangingChars="290"/>
    </w:pPr>
  </w:style>
  <w:style w:type="paragraph" w:customStyle="1" w:styleId="96">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7">
    <w:name w:val="标准文件_目次、标准名称标题"/>
    <w:basedOn w:val="96"/>
    <w:next w:val="63"/>
    <w:qFormat/>
    <w:uiPriority w:val="0"/>
    <w:pPr>
      <w:spacing w:line="460" w:lineRule="exact"/>
      <w:ind w:left="0" w:firstLine="0"/>
    </w:pPr>
  </w:style>
  <w:style w:type="paragraph" w:customStyle="1" w:styleId="98">
    <w:name w:val="标准文件_目录标题"/>
    <w:basedOn w:val="1"/>
    <w:qFormat/>
    <w:uiPriority w:val="0"/>
    <w:pPr>
      <w:widowControl w:val="0"/>
      <w:adjustRightInd w:val="0"/>
      <w:spacing w:before="480" w:afterLines="150"/>
      <w:jc w:val="center"/>
    </w:pPr>
    <w:rPr>
      <w:rFonts w:ascii="黑体" w:hAnsi="Calibri" w:eastAsia="黑体"/>
      <w:kern w:val="2"/>
      <w:sz w:val="32"/>
      <w:szCs w:val="21"/>
      <w:lang w:val="en-US"/>
    </w:rPr>
  </w:style>
  <w:style w:type="paragraph" w:customStyle="1" w:styleId="99">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0">
    <w:name w:val="标准文件_破折号列项（二级）"/>
    <w:basedOn w:val="99"/>
    <w:qFormat/>
    <w:uiPriority w:val="0"/>
    <w:pPr>
      <w:numPr>
        <w:numId w:val="10"/>
      </w:numPr>
    </w:pPr>
  </w:style>
  <w:style w:type="paragraph" w:customStyle="1" w:styleId="101">
    <w:name w:val="标准文件_三级条标题"/>
    <w:basedOn w:val="72"/>
    <w:next w:val="63"/>
    <w:qFormat/>
    <w:uiPriority w:val="0"/>
    <w:pPr>
      <w:widowControl/>
      <w:numPr>
        <w:ilvl w:val="4"/>
      </w:numPr>
      <w:outlineLvl w:val="3"/>
    </w:pPr>
  </w:style>
  <w:style w:type="character" w:customStyle="1" w:styleId="102">
    <w:name w:val="不明显参考1"/>
    <w:qFormat/>
    <w:uiPriority w:val="31"/>
    <w:rPr>
      <w:smallCaps/>
      <w:color w:val="C0504D"/>
      <w:u w:val="single"/>
    </w:rPr>
  </w:style>
  <w:style w:type="paragraph" w:customStyle="1" w:styleId="103">
    <w:name w:val="标准文件_示例后续"/>
    <w:basedOn w:val="1"/>
    <w:qFormat/>
    <w:uiPriority w:val="0"/>
    <w:pPr>
      <w:widowControl w:val="0"/>
      <w:ind w:firstLine="200" w:firstLineChars="200"/>
      <w:jc w:val="both"/>
    </w:pPr>
    <w:rPr>
      <w:rFonts w:ascii="Calibri" w:hAnsi="Calibri" w:eastAsia="宋体"/>
      <w:kern w:val="2"/>
      <w:sz w:val="18"/>
      <w:lang w:val="en-US"/>
    </w:rPr>
  </w:style>
  <w:style w:type="paragraph" w:customStyle="1" w:styleId="104">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5">
    <w:name w:val="标准文件_四级条标题"/>
    <w:next w:val="63"/>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6">
    <w:name w:val="Footnote Text Char"/>
    <w:link w:val="25"/>
    <w:semiHidden/>
    <w:qFormat/>
    <w:uiPriority w:val="0"/>
    <w:rPr>
      <w:rFonts w:ascii="宋体"/>
      <w:kern w:val="2"/>
      <w:sz w:val="18"/>
      <w:szCs w:val="18"/>
    </w:rPr>
  </w:style>
  <w:style w:type="paragraph" w:customStyle="1" w:styleId="107">
    <w:name w:val="标准文件_条文脚注"/>
    <w:basedOn w:val="25"/>
    <w:qFormat/>
    <w:uiPriority w:val="0"/>
    <w:pPr>
      <w:adjustRightInd w:val="0"/>
      <w:spacing w:line="240" w:lineRule="auto"/>
      <w:ind w:left="0" w:leftChars="0" w:firstLine="200" w:firstLineChars="200"/>
      <w:jc w:val="both"/>
    </w:pPr>
    <w:rPr>
      <w:rFonts w:hAnsi="宋体"/>
    </w:rPr>
  </w:style>
  <w:style w:type="paragraph" w:customStyle="1" w:styleId="108">
    <w:name w:val="标准文件_图表脚注"/>
    <w:basedOn w:val="1"/>
    <w:next w:val="63"/>
    <w:qFormat/>
    <w:uiPriority w:val="0"/>
    <w:pPr>
      <w:widowControl w:val="0"/>
      <w:numPr>
        <w:ilvl w:val="0"/>
        <w:numId w:val="12"/>
      </w:numPr>
      <w:adjustRightInd w:val="0"/>
    </w:pPr>
    <w:rPr>
      <w:rFonts w:ascii="宋体" w:hAnsi="宋体" w:eastAsia="宋体"/>
      <w:kern w:val="2"/>
      <w:sz w:val="18"/>
      <w:szCs w:val="21"/>
      <w:lang w:val="en-US"/>
    </w:rPr>
  </w:style>
  <w:style w:type="character" w:customStyle="1" w:styleId="109">
    <w:name w:val="标准文件_图表脚注内容"/>
    <w:qFormat/>
    <w:uiPriority w:val="0"/>
    <w:rPr>
      <w:rFonts w:ascii="宋体" w:hAnsi="宋体" w:eastAsia="宋体" w:cs="Times New Roman"/>
      <w:spacing w:val="0"/>
      <w:sz w:val="18"/>
      <w:vertAlign w:val="superscript"/>
    </w:rPr>
  </w:style>
  <w:style w:type="paragraph" w:customStyle="1" w:styleId="110">
    <w:name w:val="标准文件_五级条标题"/>
    <w:next w:val="63"/>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11">
    <w:name w:val="标准文件_章标题"/>
    <w:next w:val="63"/>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12">
    <w:name w:val="标准文件_一级条标题"/>
    <w:basedOn w:val="111"/>
    <w:next w:val="63"/>
    <w:qFormat/>
    <w:uiPriority w:val="0"/>
    <w:pPr>
      <w:numPr>
        <w:ilvl w:val="2"/>
      </w:numPr>
      <w:spacing w:beforeLines="50" w:afterLines="50"/>
      <w:outlineLvl w:val="1"/>
    </w:pPr>
  </w:style>
  <w:style w:type="paragraph" w:customStyle="1" w:styleId="113">
    <w:name w:val="标准文件_一致程度"/>
    <w:basedOn w:val="1"/>
    <w:qFormat/>
    <w:uiPriority w:val="0"/>
    <w:pPr>
      <w:widowControl w:val="0"/>
      <w:adjustRightInd w:val="0"/>
      <w:spacing w:line="440" w:lineRule="exact"/>
      <w:jc w:val="center"/>
    </w:pPr>
    <w:rPr>
      <w:rFonts w:ascii="Calibri" w:hAnsi="Calibri" w:eastAsia="宋体"/>
      <w:kern w:val="2"/>
      <w:sz w:val="28"/>
      <w:szCs w:val="21"/>
      <w:lang w:val="en-US"/>
    </w:rPr>
  </w:style>
  <w:style w:type="paragraph" w:customStyle="1" w:styleId="114">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5">
    <w:name w:val="标准文件_英文图表脚注"/>
    <w:basedOn w:val="62"/>
    <w:qFormat/>
    <w:uiPriority w:val="0"/>
    <w:pPr>
      <w:widowControl/>
      <w:adjustRightInd/>
      <w:snapToGrid/>
      <w:spacing w:line="240" w:lineRule="auto"/>
      <w:ind w:left="79" w:hanging="79" w:hangingChars="80"/>
    </w:pPr>
    <w:rPr>
      <w:rFonts w:ascii="宋体" w:hAnsi="宋体"/>
    </w:rPr>
  </w:style>
  <w:style w:type="paragraph" w:customStyle="1" w:styleId="116">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7">
    <w:name w:val="标准文件_英文注："/>
    <w:basedOn w:val="1"/>
    <w:next w:val="63"/>
    <w:qFormat/>
    <w:uiPriority w:val="0"/>
    <w:pPr>
      <w:widowControl w:val="0"/>
      <w:numPr>
        <w:ilvl w:val="0"/>
        <w:numId w:val="14"/>
      </w:numPr>
      <w:tabs>
        <w:tab w:val="left" w:pos="420"/>
      </w:tabs>
      <w:autoSpaceDE w:val="0"/>
      <w:autoSpaceDN w:val="0"/>
      <w:adjustRightInd w:val="0"/>
      <w:jc w:val="both"/>
    </w:pPr>
    <w:rPr>
      <w:rFonts w:ascii="宋体" w:hAnsi="宋体" w:eastAsia="宋体"/>
      <w:sz w:val="18"/>
      <w:szCs w:val="20"/>
      <w:lang w:val="en-US"/>
    </w:rPr>
  </w:style>
  <w:style w:type="paragraph" w:customStyle="1" w:styleId="118">
    <w:name w:val="标准文件_英文注×："/>
    <w:basedOn w:val="1"/>
    <w:qFormat/>
    <w:uiPriority w:val="0"/>
    <w:pPr>
      <w:widowControl w:val="0"/>
      <w:numPr>
        <w:ilvl w:val="0"/>
        <w:numId w:val="15"/>
      </w:numPr>
      <w:tabs>
        <w:tab w:val="left" w:pos="210"/>
      </w:tabs>
      <w:autoSpaceDE w:val="0"/>
      <w:autoSpaceDN w:val="0"/>
      <w:adjustRightInd w:val="0"/>
      <w:jc w:val="both"/>
    </w:pPr>
    <w:rPr>
      <w:rFonts w:ascii="宋体" w:hAnsi="宋体" w:eastAsia="宋体"/>
      <w:sz w:val="21"/>
      <w:szCs w:val="20"/>
      <w:lang w:val="en-US"/>
    </w:rPr>
  </w:style>
  <w:style w:type="paragraph" w:customStyle="1" w:styleId="119">
    <w:name w:val="标准文件_正文表标题"/>
    <w:next w:val="63"/>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20">
    <w:name w:val="标准文件_正文公式"/>
    <w:basedOn w:val="1"/>
    <w:next w:val="62"/>
    <w:qFormat/>
    <w:uiPriority w:val="0"/>
    <w:pPr>
      <w:widowControl w:val="0"/>
      <w:tabs>
        <w:tab w:val="center" w:pos="4678"/>
        <w:tab w:val="right" w:leader="middleDot" w:pos="9356"/>
      </w:tabs>
      <w:adjustRightInd w:val="0"/>
      <w:jc w:val="both"/>
    </w:pPr>
    <w:rPr>
      <w:rFonts w:ascii="宋体" w:hAnsi="宋体" w:eastAsia="宋体"/>
      <w:kern w:val="2"/>
      <w:sz w:val="21"/>
      <w:szCs w:val="21"/>
      <w:lang w:val="en-US"/>
    </w:rPr>
  </w:style>
  <w:style w:type="paragraph" w:customStyle="1" w:styleId="121">
    <w:name w:val="标准文件_正文图标题"/>
    <w:next w:val="63"/>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22">
    <w:name w:val="标准文件_正文英文表标题"/>
    <w:next w:val="63"/>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3">
    <w:name w:val="标准文件_正文英文图标题"/>
    <w:next w:val="63"/>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4">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5">
    <w:name w:val="二级无标题条"/>
    <w:basedOn w:val="1"/>
    <w:qFormat/>
    <w:uiPriority w:val="0"/>
    <w:pPr>
      <w:widowControl w:val="0"/>
      <w:numPr>
        <w:ilvl w:val="3"/>
        <w:numId w:val="20"/>
      </w:numPr>
      <w:jc w:val="both"/>
    </w:pPr>
    <w:rPr>
      <w:rFonts w:ascii="宋体" w:hAnsi="宋体" w:eastAsia="宋体"/>
      <w:kern w:val="2"/>
      <w:sz w:val="21"/>
      <w:lang w:val="en-US"/>
    </w:rPr>
  </w:style>
  <w:style w:type="paragraph" w:customStyle="1" w:styleId="126">
    <w:name w:val="发布部门"/>
    <w:next w:val="63"/>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8">
    <w:name w:val="封面标准代替信息"/>
    <w:basedOn w:val="1"/>
    <w:qFormat/>
    <w:uiPriority w:val="0"/>
    <w:pPr>
      <w:framePr w:w="9138" w:h="1244" w:hRule="exact" w:wrap="auto" w:vAnchor="page" w:hAnchor="margin" w:y="2908"/>
      <w:widowControl w:val="0"/>
      <w:kinsoku w:val="0"/>
      <w:overflowPunct w:val="0"/>
      <w:autoSpaceDE w:val="0"/>
      <w:autoSpaceDN w:val="0"/>
      <w:adjustRightInd w:val="0"/>
      <w:spacing w:before="57" w:line="280" w:lineRule="exact"/>
      <w:jc w:val="right"/>
      <w:textAlignment w:val="center"/>
    </w:pPr>
    <w:rPr>
      <w:rFonts w:ascii="宋体" w:eastAsia="宋体"/>
      <w:sz w:val="21"/>
      <w:szCs w:val="20"/>
      <w:lang w:val="en-US"/>
    </w:rPr>
  </w:style>
  <w:style w:type="paragraph" w:customStyle="1" w:styleId="12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0">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2">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3">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4">
    <w:name w:val="封面正文"/>
    <w:qFormat/>
    <w:uiPriority w:val="0"/>
    <w:pPr>
      <w:jc w:val="both"/>
    </w:pPr>
    <w:rPr>
      <w:rFonts w:ascii="Times New Roman" w:hAnsi="Times New Roman" w:eastAsia="宋体" w:cs="Times New Roman"/>
      <w:lang w:val="en-US" w:eastAsia="zh-CN" w:bidi="ar-SA"/>
    </w:rPr>
  </w:style>
  <w:style w:type="paragraph" w:customStyle="1" w:styleId="135">
    <w:name w:val="附录二级无标题条"/>
    <w:basedOn w:val="1"/>
    <w:next w:val="63"/>
    <w:qFormat/>
    <w:uiPriority w:val="0"/>
    <w:pPr>
      <w:wordWrap w:val="0"/>
      <w:overflowPunct w:val="0"/>
      <w:autoSpaceDE w:val="0"/>
      <w:autoSpaceDN w:val="0"/>
      <w:jc w:val="both"/>
      <w:textAlignment w:val="baseline"/>
      <w:outlineLvl w:val="3"/>
    </w:pPr>
    <w:rPr>
      <w:rFonts w:ascii="宋体" w:hAnsi="宋体" w:eastAsia="宋体"/>
      <w:kern w:val="21"/>
      <w:sz w:val="21"/>
      <w:szCs w:val="21"/>
      <w:lang w:val="en-US"/>
    </w:rPr>
  </w:style>
  <w:style w:type="paragraph" w:customStyle="1" w:styleId="136">
    <w:name w:val="附录三级无标题条"/>
    <w:basedOn w:val="135"/>
    <w:next w:val="63"/>
    <w:qFormat/>
    <w:uiPriority w:val="0"/>
    <w:pPr>
      <w:outlineLvl w:val="4"/>
    </w:pPr>
  </w:style>
  <w:style w:type="paragraph" w:customStyle="1" w:styleId="137">
    <w:name w:val="附录四级无标题条"/>
    <w:basedOn w:val="136"/>
    <w:next w:val="63"/>
    <w:qFormat/>
    <w:uiPriority w:val="0"/>
    <w:pPr>
      <w:outlineLvl w:val="5"/>
    </w:pPr>
  </w:style>
  <w:style w:type="paragraph" w:customStyle="1" w:styleId="138">
    <w:name w:val="附录图"/>
    <w:next w:val="63"/>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9">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40">
    <w:name w:val="附录五级无标题条"/>
    <w:basedOn w:val="137"/>
    <w:next w:val="63"/>
    <w:qFormat/>
    <w:uiPriority w:val="0"/>
    <w:pPr>
      <w:outlineLvl w:val="6"/>
    </w:pPr>
  </w:style>
  <w:style w:type="paragraph" w:customStyle="1" w:styleId="141">
    <w:name w:val="附录性质"/>
    <w:basedOn w:val="1"/>
    <w:qFormat/>
    <w:uiPriority w:val="0"/>
    <w:pPr>
      <w:spacing w:line="400" w:lineRule="exact"/>
      <w:jc w:val="center"/>
    </w:pPr>
    <w:rPr>
      <w:rFonts w:ascii="黑体" w:hAnsi="Calibri" w:eastAsia="黑体"/>
      <w:kern w:val="2"/>
      <w:sz w:val="21"/>
      <w:szCs w:val="21"/>
      <w:lang w:val="en-US"/>
    </w:rPr>
  </w:style>
  <w:style w:type="paragraph" w:customStyle="1" w:styleId="142">
    <w:name w:val="附录一级无标题条"/>
    <w:basedOn w:val="94"/>
    <w:next w:val="63"/>
    <w:qFormat/>
    <w:uiPriority w:val="0"/>
    <w:pPr>
      <w:autoSpaceDN w:val="0"/>
      <w:outlineLvl w:val="2"/>
    </w:pPr>
    <w:rPr>
      <w:rFonts w:ascii="宋体" w:hAnsi="宋体" w:eastAsia="宋体"/>
    </w:rPr>
  </w:style>
  <w:style w:type="character" w:customStyle="1" w:styleId="143">
    <w:name w:val="个人答复风格"/>
    <w:qFormat/>
    <w:uiPriority w:val="0"/>
    <w:rPr>
      <w:rFonts w:ascii="Arial" w:hAnsi="Arial" w:eastAsia="宋体" w:cs="Arial"/>
      <w:color w:val="auto"/>
      <w:spacing w:val="0"/>
      <w:sz w:val="20"/>
    </w:rPr>
  </w:style>
  <w:style w:type="character" w:customStyle="1" w:styleId="144">
    <w:name w:val="个人撰写风格"/>
    <w:qFormat/>
    <w:uiPriority w:val="0"/>
    <w:rPr>
      <w:rFonts w:ascii="Arial" w:hAnsi="Arial" w:eastAsia="宋体" w:cs="Arial"/>
      <w:color w:val="auto"/>
      <w:spacing w:val="0"/>
      <w:sz w:val="20"/>
    </w:rPr>
  </w:style>
  <w:style w:type="paragraph" w:customStyle="1" w:styleId="145">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6">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7">
    <w:name w:val="列项·"/>
    <w:basedOn w:val="63"/>
    <w:qFormat/>
    <w:uiPriority w:val="0"/>
    <w:pPr>
      <w:tabs>
        <w:tab w:val="left" w:pos="840"/>
      </w:tabs>
    </w:pPr>
  </w:style>
  <w:style w:type="paragraph" w:customStyle="1" w:styleId="14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9">
    <w:name w:val="目录 21"/>
    <w:basedOn w:val="1"/>
    <w:next w:val="1"/>
    <w:semiHidden/>
    <w:qFormat/>
    <w:uiPriority w:val="0"/>
    <w:pPr>
      <w:widowControl w:val="0"/>
    </w:pPr>
    <w:rPr>
      <w:rFonts w:ascii="Calibri" w:hAnsi="Calibri" w:eastAsia="宋体"/>
      <w:bCs/>
      <w:iCs/>
      <w:kern w:val="2"/>
      <w:sz w:val="21"/>
      <w:szCs w:val="21"/>
      <w:lang w:val="en-US"/>
    </w:rPr>
  </w:style>
  <w:style w:type="paragraph" w:customStyle="1" w:styleId="150">
    <w:name w:val="目录 31"/>
    <w:basedOn w:val="1"/>
    <w:next w:val="1"/>
    <w:semiHidden/>
    <w:qFormat/>
    <w:uiPriority w:val="0"/>
    <w:pPr>
      <w:widowControl w:val="0"/>
      <w:adjustRightInd w:val="0"/>
      <w:jc w:val="both"/>
    </w:pPr>
    <w:rPr>
      <w:rFonts w:ascii="宋体" w:hAnsi="宋体" w:eastAsia="宋体"/>
      <w:iCs/>
      <w:kern w:val="2"/>
      <w:sz w:val="21"/>
      <w:szCs w:val="21"/>
      <w:lang w:val="en-US"/>
    </w:rPr>
  </w:style>
  <w:style w:type="paragraph" w:customStyle="1" w:styleId="151">
    <w:name w:val="目录 41"/>
    <w:basedOn w:val="1"/>
    <w:next w:val="1"/>
    <w:semiHidden/>
    <w:qFormat/>
    <w:uiPriority w:val="0"/>
    <w:pPr>
      <w:widowControl w:val="0"/>
    </w:pPr>
    <w:rPr>
      <w:rFonts w:ascii="Calibri" w:hAnsi="Calibri" w:eastAsia="宋体"/>
      <w:kern w:val="2"/>
      <w:sz w:val="21"/>
      <w:szCs w:val="21"/>
      <w:lang w:val="en-US"/>
    </w:rPr>
  </w:style>
  <w:style w:type="paragraph" w:customStyle="1" w:styleId="152">
    <w:name w:val="目录 51"/>
    <w:basedOn w:val="1"/>
    <w:next w:val="1"/>
    <w:semiHidden/>
    <w:qFormat/>
    <w:uiPriority w:val="0"/>
    <w:pPr>
      <w:widowControl w:val="0"/>
      <w:adjustRightInd w:val="0"/>
      <w:jc w:val="both"/>
    </w:pPr>
    <w:rPr>
      <w:rFonts w:ascii="宋体" w:hAnsi="宋体" w:eastAsia="宋体"/>
      <w:kern w:val="2"/>
      <w:sz w:val="21"/>
      <w:szCs w:val="21"/>
      <w:lang w:val="en-US"/>
    </w:rPr>
  </w:style>
  <w:style w:type="paragraph" w:customStyle="1" w:styleId="153">
    <w:name w:val="目录 61"/>
    <w:basedOn w:val="1"/>
    <w:next w:val="1"/>
    <w:semiHidden/>
    <w:qFormat/>
    <w:uiPriority w:val="0"/>
    <w:pPr>
      <w:widowControl w:val="0"/>
    </w:pPr>
    <w:rPr>
      <w:rFonts w:ascii="Calibri" w:hAnsi="Calibri" w:eastAsia="宋体"/>
      <w:kern w:val="2"/>
      <w:sz w:val="21"/>
      <w:szCs w:val="21"/>
      <w:lang w:val="en-US"/>
    </w:rPr>
  </w:style>
  <w:style w:type="paragraph" w:customStyle="1" w:styleId="154">
    <w:name w:val="目录 71"/>
    <w:basedOn w:val="153"/>
    <w:semiHidden/>
    <w:qFormat/>
    <w:uiPriority w:val="0"/>
    <w:pPr>
      <w:ind w:left="1260"/>
    </w:pPr>
  </w:style>
  <w:style w:type="paragraph" w:customStyle="1" w:styleId="155">
    <w:name w:val="目录 81"/>
    <w:basedOn w:val="154"/>
    <w:semiHidden/>
    <w:qFormat/>
    <w:uiPriority w:val="0"/>
    <w:pPr>
      <w:ind w:left="1470"/>
    </w:pPr>
  </w:style>
  <w:style w:type="paragraph" w:customStyle="1" w:styleId="156">
    <w:name w:val="目录 91"/>
    <w:basedOn w:val="155"/>
    <w:semiHidden/>
    <w:qFormat/>
    <w:uiPriority w:val="0"/>
    <w:pPr>
      <w:ind w:left="1680"/>
    </w:pPr>
  </w:style>
  <w:style w:type="paragraph" w:customStyle="1" w:styleId="15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8">
    <w:name w:val="其他发布部门"/>
    <w:basedOn w:val="126"/>
    <w:qFormat/>
    <w:uiPriority w:val="0"/>
    <w:pPr>
      <w:framePr/>
      <w:spacing w:line="0" w:lineRule="atLeast"/>
    </w:pPr>
    <w:rPr>
      <w:rFonts w:ascii="黑体" w:eastAsia="黑体"/>
      <w:b w:val="0"/>
    </w:rPr>
  </w:style>
  <w:style w:type="paragraph" w:customStyle="1" w:styleId="159">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0">
    <w:name w:val="三级无标题条"/>
    <w:basedOn w:val="1"/>
    <w:qFormat/>
    <w:uiPriority w:val="0"/>
    <w:pPr>
      <w:widowControl w:val="0"/>
      <w:numPr>
        <w:ilvl w:val="4"/>
        <w:numId w:val="20"/>
      </w:numPr>
      <w:jc w:val="both"/>
    </w:pPr>
    <w:rPr>
      <w:rFonts w:ascii="宋体" w:hAnsi="宋体" w:eastAsia="宋体"/>
      <w:kern w:val="2"/>
      <w:sz w:val="21"/>
      <w:lang w:val="en-US"/>
    </w:rPr>
  </w:style>
  <w:style w:type="paragraph" w:customStyle="1" w:styleId="161">
    <w:name w:val="实施日期"/>
    <w:basedOn w:val="127"/>
    <w:qFormat/>
    <w:uiPriority w:val="0"/>
    <w:pPr>
      <w:framePr w:hSpace="0" w:xAlign="right"/>
      <w:jc w:val="right"/>
    </w:pPr>
  </w:style>
  <w:style w:type="paragraph" w:customStyle="1" w:styleId="162">
    <w:name w:val="四级无标题条"/>
    <w:basedOn w:val="1"/>
    <w:qFormat/>
    <w:uiPriority w:val="0"/>
    <w:pPr>
      <w:widowControl w:val="0"/>
      <w:numPr>
        <w:ilvl w:val="5"/>
        <w:numId w:val="20"/>
      </w:numPr>
      <w:jc w:val="both"/>
    </w:pPr>
    <w:rPr>
      <w:rFonts w:ascii="宋体" w:hAnsi="宋体" w:eastAsia="宋体"/>
      <w:kern w:val="2"/>
      <w:sz w:val="21"/>
      <w:lang w:val="en-US"/>
    </w:rPr>
  </w:style>
  <w:style w:type="paragraph" w:customStyle="1" w:styleId="163">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4">
    <w:name w:val="无标题条"/>
    <w:next w:val="63"/>
    <w:qFormat/>
    <w:uiPriority w:val="0"/>
    <w:pPr>
      <w:jc w:val="both"/>
    </w:pPr>
    <w:rPr>
      <w:rFonts w:ascii="宋体" w:hAnsi="宋体" w:eastAsia="宋体" w:cs="Times New Roman"/>
      <w:sz w:val="21"/>
      <w:lang w:val="en-US" w:eastAsia="zh-CN" w:bidi="ar-SA"/>
    </w:rPr>
  </w:style>
  <w:style w:type="paragraph" w:customStyle="1" w:styleId="165">
    <w:name w:val="五级无标题条"/>
    <w:basedOn w:val="1"/>
    <w:qFormat/>
    <w:uiPriority w:val="0"/>
    <w:pPr>
      <w:widowControl w:val="0"/>
      <w:numPr>
        <w:ilvl w:val="6"/>
        <w:numId w:val="20"/>
      </w:numPr>
      <w:spacing w:line="400" w:lineRule="exact"/>
      <w:jc w:val="both"/>
    </w:pPr>
    <w:rPr>
      <w:rFonts w:ascii="Calibri" w:hAnsi="Calibri" w:eastAsia="宋体"/>
      <w:kern w:val="2"/>
      <w:sz w:val="21"/>
      <w:lang w:val="en-US"/>
    </w:rPr>
  </w:style>
  <w:style w:type="paragraph" w:customStyle="1" w:styleId="166">
    <w:name w:val="一级无标题条"/>
    <w:basedOn w:val="1"/>
    <w:qFormat/>
    <w:uiPriority w:val="0"/>
    <w:pPr>
      <w:widowControl w:val="0"/>
      <w:numPr>
        <w:ilvl w:val="2"/>
        <w:numId w:val="20"/>
      </w:numPr>
      <w:spacing w:before="10" w:after="10"/>
      <w:jc w:val="both"/>
    </w:pPr>
    <w:rPr>
      <w:rFonts w:ascii="宋体" w:hAnsi="宋体" w:eastAsia="宋体"/>
      <w:kern w:val="2"/>
      <w:sz w:val="21"/>
      <w:lang w:val="en-US"/>
    </w:rPr>
  </w:style>
  <w:style w:type="paragraph" w:customStyle="1" w:styleId="167">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8">
    <w:name w:val="注×:后续"/>
    <w:basedOn w:val="167"/>
    <w:qFormat/>
    <w:uiPriority w:val="0"/>
    <w:pPr>
      <w:ind w:left="1406" w:leftChars="0" w:hanging="499" w:firstLineChars="0"/>
    </w:pPr>
  </w:style>
  <w:style w:type="paragraph" w:customStyle="1" w:styleId="169">
    <w:name w:val="标准文件_一级无标题"/>
    <w:basedOn w:val="112"/>
    <w:qFormat/>
    <w:uiPriority w:val="0"/>
    <w:pPr>
      <w:spacing w:beforeLines="0" w:afterLines="0"/>
      <w:outlineLvl w:val="9"/>
    </w:pPr>
    <w:rPr>
      <w:rFonts w:ascii="宋体" w:eastAsia="宋体"/>
    </w:rPr>
  </w:style>
  <w:style w:type="paragraph" w:customStyle="1" w:styleId="170">
    <w:name w:val="标准文件_五级无标题"/>
    <w:basedOn w:val="110"/>
    <w:qFormat/>
    <w:uiPriority w:val="0"/>
    <w:pPr>
      <w:spacing w:beforeLines="0" w:afterLines="0"/>
      <w:outlineLvl w:val="9"/>
    </w:pPr>
    <w:rPr>
      <w:rFonts w:ascii="宋体" w:eastAsia="宋体"/>
    </w:rPr>
  </w:style>
  <w:style w:type="paragraph" w:customStyle="1" w:styleId="171">
    <w:name w:val="标准文件_三级无标题"/>
    <w:basedOn w:val="101"/>
    <w:qFormat/>
    <w:uiPriority w:val="0"/>
    <w:pPr>
      <w:spacing w:beforeLines="0" w:afterLines="0"/>
      <w:outlineLvl w:val="9"/>
    </w:pPr>
    <w:rPr>
      <w:rFonts w:ascii="宋体" w:eastAsia="宋体"/>
    </w:rPr>
  </w:style>
  <w:style w:type="paragraph" w:customStyle="1" w:styleId="172">
    <w:name w:val="标准文件_二级无标题"/>
    <w:basedOn w:val="72"/>
    <w:qFormat/>
    <w:uiPriority w:val="0"/>
    <w:pPr>
      <w:spacing w:beforeLines="0" w:afterLines="0"/>
      <w:outlineLvl w:val="9"/>
    </w:pPr>
    <w:rPr>
      <w:rFonts w:ascii="宋体" w:eastAsia="宋体"/>
    </w:rPr>
  </w:style>
  <w:style w:type="paragraph" w:customStyle="1" w:styleId="173">
    <w:name w:val="标准_四级无标题"/>
    <w:basedOn w:val="105"/>
    <w:next w:val="63"/>
    <w:qFormat/>
    <w:uiPriority w:val="0"/>
    <w:rPr>
      <w:rFonts w:eastAsia="宋体"/>
    </w:rPr>
  </w:style>
  <w:style w:type="paragraph" w:customStyle="1" w:styleId="174">
    <w:name w:val="标准文件_四级无标题"/>
    <w:basedOn w:val="105"/>
    <w:qFormat/>
    <w:uiPriority w:val="0"/>
    <w:pPr>
      <w:spacing w:beforeLines="0" w:afterLines="0"/>
      <w:outlineLvl w:val="9"/>
    </w:pPr>
    <w:rPr>
      <w:rFonts w:ascii="宋体" w:hAnsi="黑体" w:eastAsia="宋体"/>
      <w:szCs w:val="52"/>
    </w:rPr>
  </w:style>
  <w:style w:type="paragraph" w:customStyle="1" w:styleId="175">
    <w:name w:val="标准文件_大写罗马数字编号列项"/>
    <w:basedOn w:val="63"/>
    <w:qFormat/>
    <w:uiPriority w:val="0"/>
    <w:pPr>
      <w:numPr>
        <w:ilvl w:val="0"/>
        <w:numId w:val="23"/>
      </w:numPr>
      <w:ind w:firstLine="0" w:firstLineChars="0"/>
    </w:pPr>
    <w:rPr>
      <w:rFonts w:ascii="Times New Roman" w:cs="Arial"/>
      <w:szCs w:val="28"/>
    </w:rPr>
  </w:style>
  <w:style w:type="paragraph" w:customStyle="1" w:styleId="176">
    <w:name w:val="标准文件_小写罗马数字编号列项"/>
    <w:basedOn w:val="63"/>
    <w:qFormat/>
    <w:uiPriority w:val="0"/>
    <w:pPr>
      <w:numPr>
        <w:ilvl w:val="0"/>
        <w:numId w:val="24"/>
      </w:numPr>
      <w:ind w:firstLine="0" w:firstLineChars="0"/>
    </w:pPr>
    <w:rPr>
      <w:rFonts w:cs="Arial"/>
      <w:szCs w:val="28"/>
    </w:rPr>
  </w:style>
  <w:style w:type="paragraph" w:customStyle="1" w:styleId="177">
    <w:name w:val="标准文件_附录标题"/>
    <w:basedOn w:val="83"/>
    <w:qFormat/>
    <w:uiPriority w:val="0"/>
    <w:pPr>
      <w:numPr>
        <w:numId w:val="0"/>
      </w:numPr>
      <w:spacing w:after="280"/>
      <w:outlineLvl w:val="9"/>
    </w:pPr>
  </w:style>
  <w:style w:type="paragraph" w:customStyle="1" w:styleId="178">
    <w:name w:val="标准文件_二级项"/>
    <w:qFormat/>
    <w:uiPriority w:val="0"/>
    <w:rPr>
      <w:rFonts w:ascii="宋体" w:hAnsi="Times New Roman" w:eastAsia="宋体" w:cs="Times New Roman"/>
      <w:sz w:val="21"/>
      <w:lang w:val="en-US" w:eastAsia="zh-CN" w:bidi="ar-SA"/>
    </w:rPr>
  </w:style>
  <w:style w:type="paragraph" w:customStyle="1" w:styleId="179">
    <w:name w:val="标准文件_三级项"/>
    <w:basedOn w:val="1"/>
    <w:qFormat/>
    <w:uiPriority w:val="0"/>
    <w:pPr>
      <w:widowControl w:val="0"/>
      <w:numPr>
        <w:ilvl w:val="2"/>
        <w:numId w:val="21"/>
      </w:numPr>
      <w:adjustRightInd w:val="0"/>
      <w:spacing w:line="536870612" w:lineRule="auto"/>
      <w:jc w:val="both"/>
    </w:pPr>
    <w:rPr>
      <w:rFonts w:eastAsia="宋体"/>
      <w:kern w:val="2"/>
      <w:sz w:val="21"/>
      <w:szCs w:val="21"/>
      <w:lang w:val="en-US"/>
    </w:rPr>
  </w:style>
  <w:style w:type="paragraph" w:customStyle="1" w:styleId="180">
    <w:name w:val="图表脚注说明"/>
    <w:basedOn w:val="1"/>
    <w:next w:val="63"/>
    <w:qFormat/>
    <w:uiPriority w:val="0"/>
    <w:pPr>
      <w:widowControl w:val="0"/>
      <w:numPr>
        <w:ilvl w:val="0"/>
        <w:numId w:val="25"/>
      </w:numPr>
      <w:jc w:val="both"/>
    </w:pPr>
    <w:rPr>
      <w:rFonts w:ascii="宋体" w:eastAsia="宋体"/>
      <w:kern w:val="2"/>
      <w:sz w:val="18"/>
      <w:szCs w:val="18"/>
      <w:lang w:val="en-US"/>
    </w:rPr>
  </w:style>
  <w:style w:type="paragraph" w:customStyle="1" w:styleId="181">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2">
    <w:name w:val="标准文件_索引字母"/>
    <w:next w:val="63"/>
    <w:qFormat/>
    <w:uiPriority w:val="0"/>
    <w:pPr>
      <w:jc w:val="center"/>
    </w:pPr>
    <w:rPr>
      <w:rFonts w:ascii="宋体" w:hAnsi="宋体" w:eastAsia="Times New Roman" w:cs="Times New Roman"/>
      <w:b/>
      <w:kern w:val="2"/>
      <w:sz w:val="21"/>
      <w:lang w:val="en-US" w:eastAsia="zh-CN" w:bidi="ar-SA"/>
    </w:rPr>
  </w:style>
  <w:style w:type="paragraph" w:customStyle="1" w:styleId="183">
    <w:name w:val="标准文件_附录前"/>
    <w:next w:val="63"/>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4">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5">
    <w:name w:val="标准文件_表格"/>
    <w:basedOn w:val="63"/>
    <w:qFormat/>
    <w:uiPriority w:val="0"/>
    <w:pPr>
      <w:ind w:firstLine="0" w:firstLineChars="0"/>
      <w:jc w:val="center"/>
    </w:pPr>
    <w:rPr>
      <w:sz w:val="18"/>
    </w:rPr>
  </w:style>
  <w:style w:type="paragraph" w:customStyle="1" w:styleId="186">
    <w:name w:val="标准文件_注："/>
    <w:next w:val="63"/>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7">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8">
    <w:name w:val="标准文件_示例："/>
    <w:next w:val="189"/>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9">
    <w:name w:val="标准文件_示例内容"/>
    <w:basedOn w:val="63"/>
    <w:qFormat/>
    <w:uiPriority w:val="0"/>
    <w:pPr>
      <w:ind w:firstLine="420"/>
    </w:pPr>
    <w:rPr>
      <w:sz w:val="18"/>
    </w:rPr>
  </w:style>
  <w:style w:type="paragraph" w:customStyle="1" w:styleId="190">
    <w:name w:val="标准文件_示例×："/>
    <w:basedOn w:val="1"/>
    <w:next w:val="189"/>
    <w:qFormat/>
    <w:uiPriority w:val="0"/>
    <w:pPr>
      <w:numPr>
        <w:ilvl w:val="0"/>
        <w:numId w:val="29"/>
      </w:numPr>
      <w:jc w:val="both"/>
    </w:pPr>
    <w:rPr>
      <w:rFonts w:ascii="宋体" w:eastAsia="宋体"/>
      <w:sz w:val="18"/>
      <w:szCs w:val="18"/>
      <w:lang w:val="en-US"/>
    </w:rPr>
  </w:style>
  <w:style w:type="character" w:customStyle="1" w:styleId="191">
    <w:name w:val="标准文件_段 Char"/>
    <w:link w:val="63"/>
    <w:qFormat/>
    <w:uiPriority w:val="0"/>
    <w:rPr>
      <w:rFonts w:ascii="宋体" w:hAnsi="Times New Roman"/>
      <w:sz w:val="21"/>
    </w:rPr>
  </w:style>
  <w:style w:type="paragraph" w:customStyle="1" w:styleId="192">
    <w:name w:val="标准文件_表格续"/>
    <w:basedOn w:val="63"/>
    <w:next w:val="63"/>
    <w:qFormat/>
    <w:uiPriority w:val="0"/>
    <w:pPr>
      <w:jc w:val="center"/>
    </w:pPr>
    <w:rPr>
      <w:rFonts w:ascii="黑体" w:hAnsi="黑体" w:eastAsia="黑体"/>
    </w:rPr>
  </w:style>
  <w:style w:type="character" w:styleId="193">
    <w:name w:val="Placeholder Text"/>
    <w:basedOn w:val="33"/>
    <w:semiHidden/>
    <w:qFormat/>
    <w:uiPriority w:val="99"/>
    <w:rPr>
      <w:color w:val="808080"/>
    </w:rPr>
  </w:style>
  <w:style w:type="paragraph" w:customStyle="1" w:styleId="194">
    <w:name w:val="标准文件_二级项2"/>
    <w:basedOn w:val="63"/>
    <w:qFormat/>
    <w:uiPriority w:val="0"/>
    <w:pPr>
      <w:numPr>
        <w:ilvl w:val="1"/>
        <w:numId w:val="21"/>
      </w:numPr>
      <w:ind w:firstLine="0" w:firstLineChars="0"/>
    </w:pPr>
  </w:style>
  <w:style w:type="paragraph" w:customStyle="1" w:styleId="195">
    <w:name w:val="标准文件_三级项2"/>
    <w:basedOn w:val="63"/>
    <w:qFormat/>
    <w:uiPriority w:val="0"/>
    <w:pPr>
      <w:numPr>
        <w:ilvl w:val="0"/>
        <w:numId w:val="30"/>
      </w:numPr>
      <w:spacing w:line="300" w:lineRule="exact"/>
      <w:ind w:firstLineChars="0"/>
    </w:pPr>
    <w:rPr>
      <w:rFonts w:ascii="Times New Roman"/>
    </w:rPr>
  </w:style>
  <w:style w:type="paragraph" w:customStyle="1" w:styleId="196">
    <w:name w:val="标准文件_一级项2"/>
    <w:basedOn w:val="63"/>
    <w:qFormat/>
    <w:uiPriority w:val="0"/>
    <w:pPr>
      <w:numPr>
        <w:ilvl w:val="0"/>
        <w:numId w:val="31"/>
      </w:numPr>
      <w:spacing w:line="300" w:lineRule="exact"/>
      <w:ind w:firstLineChars="0"/>
    </w:pPr>
    <w:rPr>
      <w:rFonts w:ascii="Times New Roman"/>
    </w:rPr>
  </w:style>
  <w:style w:type="paragraph" w:customStyle="1" w:styleId="197">
    <w:name w:val="标准文件_提示"/>
    <w:basedOn w:val="63"/>
    <w:next w:val="63"/>
    <w:qFormat/>
    <w:uiPriority w:val="0"/>
    <w:pPr>
      <w:ind w:firstLine="420"/>
    </w:pPr>
    <w:rPr>
      <w:rFonts w:ascii="黑体" w:eastAsia="黑体"/>
    </w:rPr>
  </w:style>
  <w:style w:type="character" w:customStyle="1" w:styleId="198">
    <w:name w:val="标准文件_来源"/>
    <w:basedOn w:val="33"/>
    <w:qFormat/>
    <w:uiPriority w:val="1"/>
    <w:rPr>
      <w:rFonts w:eastAsia="宋体"/>
      <w:sz w:val="21"/>
    </w:rPr>
  </w:style>
  <w:style w:type="paragraph" w:customStyle="1" w:styleId="199">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00">
    <w:name w:val="其他发布日期"/>
    <w:basedOn w:val="127"/>
    <w:qFormat/>
    <w:uiPriority w:val="0"/>
    <w:pPr>
      <w:framePr w:w="3997" w:h="471" w:hRule="exact" w:hSpace="0" w:vSpace="181" w:vAnchor="page" w:hAnchor="page" w:x="1419" w:y="14097"/>
    </w:pPr>
  </w:style>
  <w:style w:type="paragraph" w:customStyle="1" w:styleId="201">
    <w:name w:val="其他实施日期"/>
    <w:basedOn w:val="161"/>
    <w:qFormat/>
    <w:uiPriority w:val="0"/>
    <w:pPr>
      <w:framePr w:w="3997" w:h="471" w:hRule="exact" w:vSpace="181" w:vAnchor="page" w:hAnchor="page" w:x="7089" w:y="14097"/>
    </w:pPr>
  </w:style>
  <w:style w:type="paragraph" w:customStyle="1" w:styleId="202">
    <w:name w:val="标准文件_文件编号"/>
    <w:basedOn w:val="63"/>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3">
    <w:name w:val="标准文件_替换文件编号"/>
    <w:basedOn w:val="202"/>
    <w:qFormat/>
    <w:uiPriority w:val="0"/>
    <w:pPr>
      <w:spacing w:before="57"/>
    </w:pPr>
    <w:rPr>
      <w:sz w:val="21"/>
    </w:rPr>
  </w:style>
  <w:style w:type="paragraph" w:customStyle="1" w:styleId="204">
    <w:name w:val="标准文件_文件名称"/>
    <w:basedOn w:val="63"/>
    <w:next w:val="63"/>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5">
    <w:name w:val="标准文件_附录图标号"/>
    <w:basedOn w:val="63"/>
    <w:next w:val="63"/>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6">
    <w:name w:val="标准文件_附录表标号"/>
    <w:basedOn w:val="63"/>
    <w:next w:val="63"/>
    <w:qFormat/>
    <w:uiPriority w:val="0"/>
    <w:pPr>
      <w:numPr>
        <w:ilvl w:val="0"/>
        <w:numId w:val="5"/>
      </w:numPr>
      <w:spacing w:line="14" w:lineRule="exact"/>
      <w:ind w:firstLineChars="0"/>
      <w:jc w:val="center"/>
    </w:pPr>
    <w:rPr>
      <w:rFonts w:eastAsia="黑体"/>
      <w:vanish/>
      <w:sz w:val="2"/>
    </w:rPr>
  </w:style>
  <w:style w:type="paragraph" w:customStyle="1" w:styleId="207">
    <w:name w:val="标准文件_引言一级条标题"/>
    <w:basedOn w:val="63"/>
    <w:next w:val="63"/>
    <w:qFormat/>
    <w:uiPriority w:val="0"/>
    <w:pPr>
      <w:numPr>
        <w:ilvl w:val="1"/>
        <w:numId w:val="8"/>
      </w:numPr>
      <w:spacing w:beforeLines="50" w:afterLines="50"/>
      <w:ind w:firstLineChars="0"/>
    </w:pPr>
    <w:rPr>
      <w:rFonts w:ascii="黑体" w:eastAsia="黑体"/>
    </w:rPr>
  </w:style>
  <w:style w:type="paragraph" w:customStyle="1" w:styleId="208">
    <w:name w:val="标准文件_引言二级条标题"/>
    <w:basedOn w:val="63"/>
    <w:next w:val="63"/>
    <w:qFormat/>
    <w:uiPriority w:val="0"/>
    <w:pPr>
      <w:numPr>
        <w:ilvl w:val="2"/>
        <w:numId w:val="8"/>
      </w:numPr>
      <w:spacing w:beforeLines="50" w:afterLines="50"/>
      <w:ind w:firstLineChars="0"/>
    </w:pPr>
    <w:rPr>
      <w:rFonts w:ascii="黑体" w:eastAsia="黑体"/>
    </w:rPr>
  </w:style>
  <w:style w:type="paragraph" w:customStyle="1" w:styleId="209">
    <w:name w:val="标准文件_引言三级条标题"/>
    <w:basedOn w:val="63"/>
    <w:next w:val="63"/>
    <w:qFormat/>
    <w:uiPriority w:val="0"/>
    <w:pPr>
      <w:numPr>
        <w:ilvl w:val="3"/>
        <w:numId w:val="8"/>
      </w:numPr>
      <w:spacing w:beforeLines="50" w:afterLines="50"/>
      <w:ind w:firstLineChars="0"/>
    </w:pPr>
    <w:rPr>
      <w:rFonts w:ascii="黑体" w:eastAsia="黑体"/>
    </w:rPr>
  </w:style>
  <w:style w:type="paragraph" w:customStyle="1" w:styleId="210">
    <w:name w:val="标准文件_引言四级条标题"/>
    <w:basedOn w:val="63"/>
    <w:next w:val="63"/>
    <w:qFormat/>
    <w:uiPriority w:val="0"/>
    <w:pPr>
      <w:numPr>
        <w:ilvl w:val="4"/>
        <w:numId w:val="8"/>
      </w:numPr>
      <w:spacing w:beforeLines="50" w:afterLines="50"/>
      <w:ind w:firstLineChars="0"/>
    </w:pPr>
    <w:rPr>
      <w:rFonts w:ascii="黑体" w:eastAsia="黑体"/>
    </w:rPr>
  </w:style>
  <w:style w:type="paragraph" w:customStyle="1" w:styleId="211">
    <w:name w:val="标准文件_引言五级条标题"/>
    <w:basedOn w:val="63"/>
    <w:next w:val="63"/>
    <w:qFormat/>
    <w:uiPriority w:val="0"/>
    <w:pPr>
      <w:numPr>
        <w:ilvl w:val="5"/>
        <w:numId w:val="8"/>
      </w:numPr>
      <w:spacing w:beforeLines="50" w:afterLines="50"/>
      <w:ind w:firstLineChars="0"/>
    </w:pPr>
    <w:rPr>
      <w:rFonts w:ascii="黑体" w:eastAsia="黑体"/>
    </w:rPr>
  </w:style>
  <w:style w:type="paragraph" w:customStyle="1" w:styleId="212">
    <w:name w:val="标准文件_注后"/>
    <w:basedOn w:val="63"/>
    <w:qFormat/>
    <w:uiPriority w:val="0"/>
    <w:pPr>
      <w:ind w:left="811" w:firstLine="0" w:firstLineChars="0"/>
    </w:pPr>
    <w:rPr>
      <w:sz w:val="18"/>
    </w:rPr>
  </w:style>
  <w:style w:type="paragraph" w:customStyle="1" w:styleId="213">
    <w:name w:val="标准文件_注X后"/>
    <w:basedOn w:val="63"/>
    <w:qFormat/>
    <w:uiPriority w:val="0"/>
    <w:pPr>
      <w:ind w:left="811" w:firstLine="0" w:firstLineChars="0"/>
    </w:pPr>
    <w:rPr>
      <w:sz w:val="18"/>
    </w:rPr>
  </w:style>
  <w:style w:type="paragraph" w:customStyle="1" w:styleId="214">
    <w:name w:val="标准文件_示例后"/>
    <w:basedOn w:val="63"/>
    <w:qFormat/>
    <w:uiPriority w:val="0"/>
    <w:pPr>
      <w:ind w:left="964" w:firstLine="0" w:firstLineChars="0"/>
    </w:pPr>
    <w:rPr>
      <w:sz w:val="18"/>
    </w:rPr>
  </w:style>
  <w:style w:type="paragraph" w:customStyle="1" w:styleId="215">
    <w:name w:val="标准文件_示例X后"/>
    <w:basedOn w:val="63"/>
    <w:link w:val="216"/>
    <w:qFormat/>
    <w:uiPriority w:val="0"/>
    <w:pPr>
      <w:ind w:left="1049" w:firstLine="0" w:firstLineChars="0"/>
    </w:pPr>
    <w:rPr>
      <w:sz w:val="18"/>
    </w:rPr>
  </w:style>
  <w:style w:type="character" w:customStyle="1" w:styleId="216">
    <w:name w:val="标准文件_示例X后 字符"/>
    <w:basedOn w:val="191"/>
    <w:link w:val="215"/>
    <w:qFormat/>
    <w:uiPriority w:val="0"/>
    <w:rPr>
      <w:rFonts w:ascii="宋体" w:hAnsi="Times New Roman"/>
      <w:sz w:val="18"/>
    </w:rPr>
  </w:style>
  <w:style w:type="paragraph" w:customStyle="1" w:styleId="217">
    <w:name w:val="标准文件_索引项"/>
    <w:basedOn w:val="63"/>
    <w:next w:val="63"/>
    <w:qFormat/>
    <w:uiPriority w:val="0"/>
    <w:pPr>
      <w:tabs>
        <w:tab w:val="right" w:leader="dot" w:pos="9356"/>
      </w:tabs>
      <w:ind w:left="210" w:hanging="210" w:firstLineChars="0"/>
      <w:jc w:val="left"/>
    </w:pPr>
  </w:style>
  <w:style w:type="paragraph" w:customStyle="1" w:styleId="218">
    <w:name w:val="标准文件_附录一级无标题"/>
    <w:basedOn w:val="85"/>
    <w:qFormat/>
    <w:uiPriority w:val="0"/>
    <w:pPr>
      <w:spacing w:beforeLines="0" w:afterLines="0" w:line="276" w:lineRule="auto"/>
      <w:outlineLvl w:val="9"/>
    </w:pPr>
    <w:rPr>
      <w:rFonts w:ascii="宋体" w:eastAsia="宋体"/>
    </w:rPr>
  </w:style>
  <w:style w:type="paragraph" w:customStyle="1" w:styleId="219">
    <w:name w:val="标准文件_附录二级无标题"/>
    <w:basedOn w:val="86"/>
    <w:qFormat/>
    <w:uiPriority w:val="0"/>
    <w:pPr>
      <w:spacing w:beforeLines="0" w:afterLines="0" w:line="276" w:lineRule="auto"/>
      <w:outlineLvl w:val="9"/>
    </w:pPr>
    <w:rPr>
      <w:rFonts w:ascii="宋体" w:eastAsia="宋体"/>
    </w:rPr>
  </w:style>
  <w:style w:type="paragraph" w:customStyle="1" w:styleId="220">
    <w:name w:val="标准文件_附录三级无标题"/>
    <w:basedOn w:val="88"/>
    <w:qFormat/>
    <w:uiPriority w:val="0"/>
    <w:pPr>
      <w:spacing w:beforeLines="0" w:afterLines="0" w:line="276" w:lineRule="auto"/>
      <w:outlineLvl w:val="9"/>
    </w:pPr>
    <w:rPr>
      <w:rFonts w:ascii="宋体" w:eastAsia="宋体"/>
    </w:rPr>
  </w:style>
  <w:style w:type="paragraph" w:customStyle="1" w:styleId="221">
    <w:name w:val="标准文件_附录四级无标题"/>
    <w:basedOn w:val="89"/>
    <w:qFormat/>
    <w:uiPriority w:val="0"/>
    <w:pPr>
      <w:spacing w:beforeLines="0" w:afterLines="0" w:line="276" w:lineRule="auto"/>
      <w:outlineLvl w:val="9"/>
    </w:pPr>
    <w:rPr>
      <w:rFonts w:ascii="宋体" w:eastAsia="宋体"/>
    </w:rPr>
  </w:style>
  <w:style w:type="paragraph" w:customStyle="1" w:styleId="222">
    <w:name w:val="标准文件_附录五级无标题"/>
    <w:basedOn w:val="91"/>
    <w:qFormat/>
    <w:uiPriority w:val="0"/>
    <w:pPr>
      <w:spacing w:beforeLines="0" w:afterLines="0" w:line="276" w:lineRule="auto"/>
      <w:outlineLvl w:val="9"/>
    </w:pPr>
    <w:rPr>
      <w:rFonts w:ascii="宋体" w:eastAsia="宋体"/>
    </w:rPr>
  </w:style>
  <w:style w:type="paragraph" w:customStyle="1" w:styleId="223">
    <w:name w:val="标准文件_引言一级无标题"/>
    <w:basedOn w:val="207"/>
    <w:next w:val="63"/>
    <w:qFormat/>
    <w:uiPriority w:val="0"/>
    <w:pPr>
      <w:spacing w:beforeLines="0" w:afterLines="0" w:line="276" w:lineRule="auto"/>
    </w:pPr>
    <w:rPr>
      <w:rFonts w:ascii="宋体" w:eastAsia="宋体"/>
    </w:rPr>
  </w:style>
  <w:style w:type="paragraph" w:customStyle="1" w:styleId="224">
    <w:name w:val="标准文件_引言二级无标题"/>
    <w:basedOn w:val="208"/>
    <w:next w:val="63"/>
    <w:qFormat/>
    <w:uiPriority w:val="0"/>
    <w:pPr>
      <w:spacing w:beforeLines="0" w:afterLines="0" w:line="276" w:lineRule="auto"/>
    </w:pPr>
    <w:rPr>
      <w:rFonts w:ascii="宋体" w:eastAsia="宋体"/>
    </w:rPr>
  </w:style>
  <w:style w:type="paragraph" w:customStyle="1" w:styleId="225">
    <w:name w:val="标准文件_引言三级无标题"/>
    <w:basedOn w:val="209"/>
    <w:qFormat/>
    <w:uiPriority w:val="0"/>
    <w:pPr>
      <w:spacing w:beforeLines="0" w:afterLines="0" w:line="276" w:lineRule="auto"/>
    </w:pPr>
    <w:rPr>
      <w:rFonts w:ascii="宋体" w:eastAsia="宋体"/>
    </w:rPr>
  </w:style>
  <w:style w:type="paragraph" w:customStyle="1" w:styleId="226">
    <w:name w:val="标准文件_引言四级无标题"/>
    <w:basedOn w:val="210"/>
    <w:next w:val="63"/>
    <w:qFormat/>
    <w:uiPriority w:val="0"/>
    <w:pPr>
      <w:spacing w:beforeLines="0" w:afterLines="0" w:line="276" w:lineRule="auto"/>
    </w:pPr>
    <w:rPr>
      <w:rFonts w:ascii="宋体" w:eastAsia="宋体"/>
    </w:rPr>
  </w:style>
  <w:style w:type="paragraph" w:customStyle="1" w:styleId="227">
    <w:name w:val="标准文件_引言五级无标题"/>
    <w:basedOn w:val="211"/>
    <w:next w:val="63"/>
    <w:qFormat/>
    <w:uiPriority w:val="0"/>
    <w:pPr>
      <w:spacing w:beforeLines="0" w:afterLines="0" w:line="276" w:lineRule="auto"/>
    </w:pPr>
    <w:rPr>
      <w:rFonts w:ascii="宋体" w:eastAsia="宋体"/>
    </w:rPr>
  </w:style>
  <w:style w:type="paragraph" w:customStyle="1" w:styleId="228">
    <w:name w:val="标准文件_索引标题"/>
    <w:basedOn w:val="70"/>
    <w:next w:val="63"/>
    <w:qFormat/>
    <w:uiPriority w:val="0"/>
    <w:rPr>
      <w:rFonts w:hAnsi="黑体"/>
    </w:rPr>
  </w:style>
  <w:style w:type="paragraph" w:customStyle="1" w:styleId="229">
    <w:name w:val="标准文件_脚注内容"/>
    <w:basedOn w:val="63"/>
    <w:qFormat/>
    <w:uiPriority w:val="0"/>
    <w:pPr>
      <w:ind w:left="400" w:leftChars="200" w:hanging="200" w:hangingChars="200"/>
    </w:pPr>
    <w:rPr>
      <w:sz w:val="15"/>
    </w:rPr>
  </w:style>
  <w:style w:type="paragraph" w:customStyle="1" w:styleId="230">
    <w:name w:val="标准文件_术语条一"/>
    <w:basedOn w:val="169"/>
    <w:next w:val="63"/>
    <w:qFormat/>
    <w:uiPriority w:val="0"/>
  </w:style>
  <w:style w:type="paragraph" w:customStyle="1" w:styleId="231">
    <w:name w:val="标准文件_术语条二"/>
    <w:basedOn w:val="172"/>
    <w:next w:val="63"/>
    <w:qFormat/>
    <w:uiPriority w:val="0"/>
  </w:style>
  <w:style w:type="paragraph" w:customStyle="1" w:styleId="232">
    <w:name w:val="标准文件_术语条三"/>
    <w:basedOn w:val="171"/>
    <w:next w:val="63"/>
    <w:qFormat/>
    <w:uiPriority w:val="0"/>
  </w:style>
  <w:style w:type="paragraph" w:customStyle="1" w:styleId="233">
    <w:name w:val="标准文件_术语条四"/>
    <w:basedOn w:val="174"/>
    <w:next w:val="63"/>
    <w:qFormat/>
    <w:uiPriority w:val="0"/>
  </w:style>
  <w:style w:type="paragraph" w:customStyle="1" w:styleId="234">
    <w:name w:val="标准文件_术语条五"/>
    <w:basedOn w:val="170"/>
    <w:next w:val="63"/>
    <w:qFormat/>
    <w:uiPriority w:val="0"/>
  </w:style>
  <w:style w:type="paragraph" w:customStyle="1" w:styleId="23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6">
    <w:name w:val="发布"/>
    <w:basedOn w:val="33"/>
    <w:qFormat/>
    <w:uiPriority w:val="0"/>
    <w:rPr>
      <w:rFonts w:ascii="黑体" w:eastAsia="黑体"/>
      <w:spacing w:val="85"/>
      <w:w w:val="100"/>
      <w:position w:val="3"/>
      <w:sz w:val="28"/>
      <w:szCs w:val="28"/>
    </w:rPr>
  </w:style>
  <w:style w:type="paragraph" w:styleId="237">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38">
    <w:name w:val="不明显强调1"/>
    <w:basedOn w:val="33"/>
    <w:qFormat/>
    <w:uiPriority w:val="19"/>
    <w:rPr>
      <w:i/>
      <w:iCs/>
      <w:color w:val="808080" w:themeColor="text1" w:themeTint="80"/>
      <w14:textFill>
        <w14:solidFill>
          <w14:schemeClr w14:val="tx1">
            <w14:lumMod w14:val="50000"/>
            <w14:lumOff w14:val="50000"/>
          </w14:schemeClr>
        </w14:solidFill>
      </w14:textFill>
    </w:rPr>
  </w:style>
  <w:style w:type="character" w:customStyle="1" w:styleId="239">
    <w:name w:val="标题 1 字符"/>
    <w:qFormat/>
    <w:uiPriority w:val="9"/>
    <w:rPr>
      <w:rFonts w:ascii="Calibri" w:hAnsi="Calibri" w:eastAsia="宋体" w:cs="Times New Roman"/>
      <w:b/>
      <w:bCs/>
      <w:kern w:val="44"/>
      <w:sz w:val="44"/>
      <w:szCs w:val="44"/>
    </w:rPr>
  </w:style>
  <w:style w:type="character" w:customStyle="1" w:styleId="240">
    <w:name w:val="标题 2 字符"/>
    <w:qFormat/>
    <w:uiPriority w:val="9"/>
    <w:rPr>
      <w:rFonts w:ascii="宋体" w:hAnsi="宋体" w:eastAsia="宋体" w:cs="宋体"/>
      <w:b/>
      <w:bCs/>
      <w:kern w:val="0"/>
      <w:sz w:val="36"/>
      <w:szCs w:val="36"/>
    </w:rPr>
  </w:style>
  <w:style w:type="character" w:customStyle="1" w:styleId="241">
    <w:name w:val="标题 3 字符"/>
    <w:qFormat/>
    <w:uiPriority w:val="9"/>
    <w:rPr>
      <w:rFonts w:ascii="Times New Roman" w:hAnsi="Times New Roman" w:eastAsia="FangSong_GB2312"/>
      <w:b/>
      <w:kern w:val="2"/>
      <w:sz w:val="32"/>
      <w:szCs w:val="32"/>
    </w:rPr>
  </w:style>
  <w:style w:type="character" w:customStyle="1" w:styleId="242">
    <w:name w:val="标题 4 字符"/>
    <w:semiHidden/>
    <w:qFormat/>
    <w:uiPriority w:val="9"/>
    <w:rPr>
      <w:rFonts w:ascii="Cambria" w:hAnsi="Cambria" w:eastAsia="宋体" w:cs="Times New Roman"/>
      <w:b/>
      <w:bCs/>
      <w:kern w:val="2"/>
      <w:sz w:val="28"/>
      <w:szCs w:val="28"/>
    </w:rPr>
  </w:style>
  <w:style w:type="character" w:customStyle="1" w:styleId="243">
    <w:name w:val="正文文本 字符"/>
    <w:qFormat/>
    <w:uiPriority w:val="0"/>
    <w:rPr>
      <w:rFonts w:eastAsia="FangSong_GB2312"/>
      <w:kern w:val="2"/>
      <w:sz w:val="32"/>
      <w:szCs w:val="24"/>
    </w:rPr>
  </w:style>
  <w:style w:type="character" w:customStyle="1" w:styleId="244">
    <w:name w:val="日期 Char"/>
    <w:basedOn w:val="33"/>
    <w:semiHidden/>
    <w:qFormat/>
    <w:uiPriority w:val="99"/>
    <w:rPr>
      <w:rFonts w:ascii="Calibri" w:hAnsi="Calibri"/>
      <w:kern w:val="2"/>
      <w:sz w:val="21"/>
      <w:szCs w:val="21"/>
    </w:rPr>
  </w:style>
  <w:style w:type="character" w:customStyle="1" w:styleId="245">
    <w:name w:val="Date Char"/>
    <w:link w:val="19"/>
    <w:semiHidden/>
    <w:qFormat/>
    <w:uiPriority w:val="0"/>
    <w:rPr>
      <w:rFonts w:ascii="Calibri" w:hAnsi="Calibri"/>
    </w:rPr>
  </w:style>
  <w:style w:type="character" w:customStyle="1" w:styleId="246">
    <w:name w:val="页脚 字符"/>
    <w:qFormat/>
    <w:uiPriority w:val="99"/>
    <w:rPr>
      <w:rFonts w:ascii="Calibri" w:hAnsi="Calibri" w:eastAsia="宋体" w:cs="Times New Roman"/>
      <w:kern w:val="0"/>
      <w:sz w:val="18"/>
      <w:szCs w:val="18"/>
    </w:rPr>
  </w:style>
  <w:style w:type="character" w:customStyle="1" w:styleId="247">
    <w:name w:val="页眉 字符"/>
    <w:qFormat/>
    <w:uiPriority w:val="99"/>
    <w:rPr>
      <w:rFonts w:ascii="Calibri" w:hAnsi="Calibri" w:eastAsia="宋体" w:cs="Times New Roman"/>
      <w:kern w:val="0"/>
      <w:sz w:val="18"/>
      <w:szCs w:val="18"/>
    </w:rPr>
  </w:style>
  <w:style w:type="table" w:customStyle="1" w:styleId="248">
    <w:name w:val="网格型1"/>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日期 Char1"/>
    <w:semiHidden/>
    <w:qFormat/>
    <w:uiPriority w:val="99"/>
    <w:rPr>
      <w:rFonts w:ascii="Times New Roman" w:hAnsi="Times New Roman" w:eastAsia="FangSong_GB2312" w:cs="Times New Roman"/>
      <w:sz w:val="32"/>
      <w:szCs w:val="32"/>
    </w:rPr>
  </w:style>
  <w:style w:type="paragraph" w:customStyle="1" w:styleId="250">
    <w:name w:val="标题1"/>
    <w:basedOn w:val="1"/>
    <w:next w:val="1"/>
    <w:qFormat/>
    <w:uiPriority w:val="0"/>
    <w:pPr>
      <w:widowControl w:val="0"/>
      <w:tabs>
        <w:tab w:val="left" w:pos="9193"/>
        <w:tab w:val="left" w:pos="9827"/>
      </w:tabs>
      <w:autoSpaceDE w:val="0"/>
      <w:autoSpaceDN w:val="0"/>
      <w:snapToGrid w:val="0"/>
      <w:spacing w:line="640" w:lineRule="exact"/>
      <w:jc w:val="center"/>
    </w:pPr>
    <w:rPr>
      <w:rFonts w:eastAsia="方正小标宋_GBK"/>
      <w:snapToGrid w:val="0"/>
      <w:sz w:val="44"/>
      <w:szCs w:val="20"/>
      <w:lang w:val="en-US"/>
    </w:rPr>
  </w:style>
  <w:style w:type="paragraph" w:styleId="251">
    <w:name w:val="List Paragraph"/>
    <w:basedOn w:val="1"/>
    <w:qFormat/>
    <w:uiPriority w:val="99"/>
    <w:pPr>
      <w:widowControl w:val="0"/>
      <w:ind w:firstLine="420" w:firstLineChars="200"/>
      <w:jc w:val="both"/>
    </w:pPr>
    <w:rPr>
      <w:rFonts w:eastAsia="FangSong_GB2312"/>
      <w:kern w:val="2"/>
      <w:sz w:val="32"/>
      <w:szCs w:val="32"/>
      <w:lang w:val="en-US"/>
    </w:rPr>
  </w:style>
  <w:style w:type="paragraph" w:customStyle="1" w:styleId="252">
    <w:name w:val="Other|1"/>
    <w:basedOn w:val="1"/>
    <w:qFormat/>
    <w:uiPriority w:val="0"/>
    <w:pPr>
      <w:widowControl w:val="0"/>
      <w:spacing w:line="348" w:lineRule="auto"/>
      <w:ind w:firstLine="400"/>
      <w:jc w:val="both"/>
    </w:pPr>
    <w:rPr>
      <w:rFonts w:ascii="宋体" w:hAnsi="宋体" w:eastAsia="宋体" w:cs="宋体"/>
      <w:kern w:val="2"/>
      <w:sz w:val="19"/>
      <w:szCs w:val="19"/>
      <w:lang w:val="zh-TW" w:eastAsia="zh-TW" w:bidi="zh-TW"/>
    </w:rPr>
  </w:style>
  <w:style w:type="character" w:customStyle="1" w:styleId="253">
    <w:name w:val="批注框文本 字符"/>
    <w:semiHidden/>
    <w:qFormat/>
    <w:uiPriority w:val="99"/>
    <w:rPr>
      <w:rFonts w:ascii="Times New Roman" w:hAnsi="Times New Roman" w:eastAsia="FangSong_GB2312"/>
      <w:kern w:val="2"/>
      <w:sz w:val="18"/>
      <w:szCs w:val="18"/>
    </w:rPr>
  </w:style>
  <w:style w:type="character" w:customStyle="1" w:styleId="254">
    <w:name w:val="Document Map Char"/>
    <w:basedOn w:val="33"/>
    <w:link w:val="15"/>
    <w:semiHidden/>
    <w:qFormat/>
    <w:uiPriority w:val="99"/>
    <w:rPr>
      <w:rFonts w:ascii="宋体"/>
      <w:kern w:val="2"/>
      <w:sz w:val="18"/>
      <w:szCs w:val="18"/>
    </w:rPr>
  </w:style>
  <w:style w:type="paragraph" w:customStyle="1" w:styleId="255">
    <w:name w:val="msonormal"/>
    <w:basedOn w:val="1"/>
    <w:qFormat/>
    <w:uiPriority w:val="0"/>
    <w:pPr>
      <w:spacing w:before="100" w:beforeAutospacing="1" w:after="100" w:afterAutospacing="1"/>
    </w:pPr>
    <w:rPr>
      <w:rFonts w:ascii="宋体" w:hAnsi="宋体" w:eastAsia="宋体" w:cs="宋体"/>
      <w:lang w:val="en-US"/>
    </w:rPr>
  </w:style>
  <w:style w:type="paragraph" w:customStyle="1" w:styleId="256">
    <w:name w:val="font5"/>
    <w:basedOn w:val="1"/>
    <w:qFormat/>
    <w:uiPriority w:val="0"/>
    <w:pPr>
      <w:spacing w:before="100" w:beforeAutospacing="1" w:after="100" w:afterAutospacing="1"/>
    </w:pPr>
    <w:rPr>
      <w:rFonts w:ascii="等线" w:hAnsi="等线" w:eastAsia="等线" w:cs="宋体"/>
      <w:sz w:val="18"/>
      <w:szCs w:val="18"/>
      <w:lang w:val="en-US"/>
    </w:rPr>
  </w:style>
  <w:style w:type="paragraph" w:customStyle="1" w:styleId="257">
    <w:name w:val="xl63"/>
    <w:basedOn w:val="1"/>
    <w:qFormat/>
    <w:uiPriority w:val="0"/>
    <w:pPr>
      <w:spacing w:before="100" w:beforeAutospacing="1" w:after="100" w:afterAutospacing="1"/>
    </w:pPr>
    <w:rPr>
      <w:rFonts w:ascii="宋体" w:hAnsi="宋体" w:eastAsia="宋体" w:cs="宋体"/>
      <w:lang w:val="en-US"/>
    </w:rPr>
  </w:style>
  <w:style w:type="paragraph" w:customStyle="1" w:styleId="258">
    <w:name w:val="xl64"/>
    <w:basedOn w:val="1"/>
    <w:qFormat/>
    <w:uiPriority w:val="0"/>
    <w:pPr>
      <w:pBdr>
        <w:top w:val="single" w:color="auto" w:sz="4" w:space="0"/>
        <w:left w:val="single" w:color="auto" w:sz="4" w:space="0"/>
        <w:bottom w:val="single" w:color="auto" w:sz="4" w:space="0"/>
      </w:pBdr>
      <w:spacing w:before="100" w:beforeAutospacing="1" w:after="100" w:afterAutospacing="1"/>
      <w:textAlignment w:val="center"/>
    </w:pPr>
    <w:rPr>
      <w:rFonts w:ascii="宋体" w:hAnsi="宋体" w:eastAsia="宋体" w:cs="宋体"/>
      <w:b/>
      <w:bCs/>
      <w:lang w:val="en-US"/>
    </w:rPr>
  </w:style>
  <w:style w:type="paragraph" w:customStyle="1" w:styleId="259">
    <w:name w:val="xl65"/>
    <w:basedOn w:val="1"/>
    <w:qFormat/>
    <w:uiPriority w:val="0"/>
    <w:pPr>
      <w:pBdr>
        <w:top w:val="single" w:color="auto" w:sz="4" w:space="0"/>
        <w:bottom w:val="single" w:color="auto" w:sz="4" w:space="0"/>
      </w:pBdr>
      <w:spacing w:before="100" w:beforeAutospacing="1" w:after="100" w:afterAutospacing="1"/>
      <w:textAlignment w:val="center"/>
    </w:pPr>
    <w:rPr>
      <w:rFonts w:ascii="宋体" w:hAnsi="宋体" w:eastAsia="宋体" w:cs="宋体"/>
      <w:b/>
      <w:bCs/>
      <w:lang w:val="en-US"/>
    </w:rPr>
  </w:style>
  <w:style w:type="paragraph" w:customStyle="1" w:styleId="260">
    <w:name w:val="xl66"/>
    <w:basedOn w:val="1"/>
    <w:qFormat/>
    <w:uiPriority w:val="0"/>
    <w:pPr>
      <w:pBdr>
        <w:top w:val="single" w:color="auto" w:sz="4" w:space="0"/>
        <w:bottom w:val="single" w:color="auto" w:sz="4" w:space="0"/>
        <w:right w:val="single" w:color="auto" w:sz="4" w:space="0"/>
      </w:pBdr>
      <w:spacing w:before="100" w:beforeAutospacing="1" w:after="100" w:afterAutospacing="1"/>
      <w:textAlignment w:val="center"/>
    </w:pPr>
    <w:rPr>
      <w:rFonts w:ascii="宋体" w:hAnsi="宋体" w:eastAsia="宋体" w:cs="宋体"/>
      <w:b/>
      <w:bCs/>
      <w:lang w:val="en-US"/>
    </w:rPr>
  </w:style>
  <w:style w:type="paragraph" w:customStyle="1" w:styleId="261">
    <w:name w:val="xl67"/>
    <w:basedOn w:val="1"/>
    <w:qFormat/>
    <w:uiPriority w:val="0"/>
    <w:pPr>
      <w:spacing w:before="100" w:beforeAutospacing="1" w:after="100" w:afterAutospacing="1"/>
      <w:jc w:val="center"/>
      <w:textAlignment w:val="center"/>
    </w:pPr>
    <w:rPr>
      <w:rFonts w:ascii="宋体" w:hAnsi="宋体" w:eastAsia="宋体" w:cs="宋体"/>
      <w:lang w:val="en-US"/>
    </w:rPr>
  </w:style>
  <w:style w:type="paragraph" w:customStyle="1" w:styleId="262">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lang w:val="en-US"/>
    </w:rPr>
  </w:style>
  <w:style w:type="paragraph" w:customStyle="1" w:styleId="263">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lang w:val="en-US"/>
    </w:rPr>
  </w:style>
  <w:style w:type="character" w:customStyle="1" w:styleId="264">
    <w:name w:val="Comment Text Char"/>
    <w:basedOn w:val="33"/>
    <w:link w:val="16"/>
    <w:qFormat/>
    <w:uiPriority w:val="99"/>
    <w:rPr>
      <w:rFonts w:ascii="Calibri" w:hAnsi="Calibri"/>
      <w:kern w:val="2"/>
      <w:sz w:val="21"/>
      <w:szCs w:val="21"/>
    </w:rPr>
  </w:style>
  <w:style w:type="character" w:customStyle="1" w:styleId="265">
    <w:name w:val="批注主题 Char"/>
    <w:basedOn w:val="264"/>
    <w:semiHidden/>
    <w:qFormat/>
    <w:uiPriority w:val="99"/>
    <w:rPr>
      <w:rFonts w:ascii="Calibri" w:hAnsi="Calibri"/>
      <w:b/>
      <w:bCs/>
      <w:kern w:val="2"/>
      <w:sz w:val="21"/>
      <w:szCs w:val="21"/>
    </w:rPr>
  </w:style>
  <w:style w:type="character" w:customStyle="1" w:styleId="266">
    <w:name w:val="批注文字 字符"/>
    <w:qFormat/>
    <w:uiPriority w:val="99"/>
    <w:rPr>
      <w:rFonts w:ascii="Times New Roman" w:hAnsi="Times New Roman" w:eastAsia="FangSong_GB2312"/>
      <w:kern w:val="2"/>
      <w:sz w:val="32"/>
      <w:szCs w:val="32"/>
    </w:rPr>
  </w:style>
  <w:style w:type="character" w:customStyle="1" w:styleId="267">
    <w:name w:val="Comment Subject Char"/>
    <w:link w:val="30"/>
    <w:semiHidden/>
    <w:qFormat/>
    <w:uiPriority w:val="99"/>
    <w:rPr>
      <w:rFonts w:eastAsia="FangSong_GB2312"/>
      <w:b/>
      <w:bCs/>
      <w:kern w:val="2"/>
      <w:sz w:val="32"/>
      <w:szCs w:val="32"/>
    </w:rPr>
  </w:style>
  <w:style w:type="character" w:customStyle="1" w:styleId="268">
    <w:name w:val="日期 字符"/>
    <w:semiHidden/>
    <w:qFormat/>
    <w:uiPriority w:val="0"/>
    <w:rPr>
      <w:rFonts w:ascii="Calibri" w:hAnsi="Calibri" w:eastAsia="宋体" w:cs="Times New Roman"/>
      <w:kern w:val="0"/>
    </w:rPr>
  </w:style>
  <w:style w:type="table" w:customStyle="1" w:styleId="269">
    <w:name w:val="网格型2"/>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批注主题 字符"/>
    <w:semiHidden/>
    <w:qFormat/>
    <w:uiPriority w:val="99"/>
    <w:rPr>
      <w:rFonts w:ascii="Times New Roman" w:hAnsi="Times New Roman" w:eastAsia="FangSong_GB2312"/>
      <w:b/>
      <w:bCs/>
      <w:kern w:val="2"/>
      <w:sz w:val="32"/>
      <w:szCs w:val="32"/>
    </w:rPr>
  </w:style>
  <w:style w:type="paragraph" w:customStyle="1" w:styleId="271">
    <w:name w:val="修订1"/>
    <w:hidden/>
    <w:semiHidden/>
    <w:qFormat/>
    <w:uiPriority w:val="99"/>
    <w:rPr>
      <w:rFonts w:ascii="Calibri" w:hAnsi="Calibri" w:eastAsia="宋体" w:cs="Times New Roman"/>
      <w:kern w:val="2"/>
      <w:sz w:val="21"/>
      <w:szCs w:val="21"/>
      <w:lang w:val="en-US" w:eastAsia="zh-CN" w:bidi="ar-SA"/>
    </w:rPr>
  </w:style>
  <w:style w:type="paragraph" w:customStyle="1" w:styleId="272">
    <w:name w:val="Revision1"/>
    <w:hidden/>
    <w:unhideWhenUsed/>
    <w:qFormat/>
    <w:uiPriority w:val="99"/>
    <w:rPr>
      <w:rFonts w:ascii="Calibri" w:hAnsi="Calibri" w:eastAsia="宋体" w:cs="Times New Roman"/>
      <w:kern w:val="2"/>
      <w:sz w:val="21"/>
      <w:szCs w:val="21"/>
      <w:lang w:val="en-US" w:eastAsia="zh-CN" w:bidi="ar-SA"/>
    </w:rPr>
  </w:style>
  <w:style w:type="paragraph" w:customStyle="1" w:styleId="273">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74">
    <w:name w:val="附录标识"/>
    <w:basedOn w:val="1"/>
    <w:next w:val="1"/>
    <w:qFormat/>
    <w:uiPriority w:val="0"/>
    <w:pPr>
      <w:keepNext/>
      <w:shd w:val="clear" w:color="FFFFFF" w:fill="FFFFFF"/>
      <w:tabs>
        <w:tab w:val="left" w:pos="360"/>
        <w:tab w:val="left" w:pos="6405"/>
      </w:tabs>
      <w:spacing w:before="640" w:after="280"/>
      <w:ind w:left="4410"/>
      <w:jc w:val="center"/>
      <w:outlineLvl w:val="0"/>
    </w:pPr>
    <w:rPr>
      <w:rFonts w:ascii="黑体" w:eastAsia="黑体" w:hAnsiTheme="minorHAnsi" w:cstheme="minorBidi"/>
      <w:sz w:val="21"/>
      <w:szCs w:val="20"/>
      <w:lang w:val="en-US"/>
    </w:rPr>
  </w:style>
  <w:style w:type="paragraph" w:customStyle="1" w:styleId="275">
    <w:name w:val="WPSOffice手动目录 1"/>
    <w:qFormat/>
    <w:uiPriority w:val="0"/>
    <w:rPr>
      <w:rFonts w:ascii="Times New Roman" w:hAnsi="Times New Roman" w:eastAsia="宋体" w:cs="Times New Roman"/>
      <w:lang w:val="zh-CN" w:eastAsia="zh-CN" w:bidi="ar-SA"/>
    </w:rPr>
  </w:style>
  <w:style w:type="paragraph" w:customStyle="1" w:styleId="276">
    <w:name w:val="WPSOffice手动目录 2"/>
    <w:qFormat/>
    <w:uiPriority w:val="0"/>
    <w:pPr>
      <w:ind w:left="200" w:leftChars="200"/>
    </w:pPr>
    <w:rPr>
      <w:rFonts w:ascii="Times New Roman" w:hAnsi="Times New Roman" w:eastAsia="宋体" w:cs="Times New Roman"/>
      <w:lang w:val="zh-CN" w:eastAsia="zh-CN" w:bidi="ar-SA"/>
    </w:rPr>
  </w:style>
  <w:style w:type="paragraph" w:customStyle="1" w:styleId="277">
    <w:name w:val="Revision2"/>
    <w:hidden/>
    <w:unhideWhenUsed/>
    <w:qFormat/>
    <w:uiPriority w:val="99"/>
    <w:rPr>
      <w:rFonts w:ascii="Calibri" w:hAnsi="Calibri" w:eastAsia="宋体" w:cs="Times New Roman"/>
      <w:kern w:val="2"/>
      <w:sz w:val="21"/>
      <w:szCs w:val="21"/>
      <w:lang w:val="en-US" w:eastAsia="zh-CN" w:bidi="ar-SA"/>
    </w:rPr>
  </w:style>
  <w:style w:type="paragraph" w:customStyle="1" w:styleId="278">
    <w:name w:val="Revision"/>
    <w:hidden/>
    <w:unhideWhenUsed/>
    <w:qFormat/>
    <w:uiPriority w:val="99"/>
    <w:rPr>
      <w:rFonts w:ascii="Calibri" w:hAnsi="Calibri" w:eastAsia="宋体" w:cs="Times New Roman"/>
      <w:kern w:val="2"/>
      <w:sz w:val="21"/>
      <w:szCs w:val="21"/>
      <w:lang w:val="en-US" w:eastAsia="zh-CN" w:bidi="ar-SA"/>
    </w:rPr>
  </w:style>
  <w:style w:type="character" w:customStyle="1" w:styleId="279">
    <w:name w:val="标准文件_版本 Char"/>
    <w:link w:val="64"/>
    <w:qFormat/>
    <w:uiPriority w:val="0"/>
    <w:rPr>
      <w:rFonts w:ascii="宋体" w:hAnsi="宋体"/>
      <w:kern w:val="2"/>
    </w:rPr>
  </w:style>
  <w:style w:type="character" w:customStyle="1" w:styleId="280">
    <w:name w:val="标准文件_标准正文 Char"/>
    <w:link w:val="62"/>
    <w:qFormat/>
    <w:uiPriority w:val="0"/>
    <w:rPr>
      <w:rFonts w:ascii="Calibri" w:hAnsi="Calibri" w:eastAsia="宋体"/>
      <w:sz w:val="21"/>
      <w:szCs w:val="21"/>
      <w:lang w:val="en-US"/>
    </w:rPr>
  </w:style>
  <w:style w:type="paragraph" w:customStyle="1" w:styleId="281">
    <w:name w:val="字母编号列项（一级）"/>
    <w:qFormat/>
    <w:uiPriority w:val="0"/>
    <w:pPr>
      <w:numPr>
        <w:ilvl w:val="0"/>
        <w:numId w:val="32"/>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9F5EF66112D40978DBD57B6750CCA15"/>
        <w:style w:val=""/>
        <w:category>
          <w:name w:val="常规"/>
          <w:gallery w:val="placeholder"/>
        </w:category>
        <w:types>
          <w:type w:val="bbPlcHdr"/>
        </w:types>
        <w:behaviors>
          <w:behavior w:val="content"/>
        </w:behaviors>
        <w:description w:val=""/>
        <w:guid w:val="{BB18CD67-7970-4FA9-9D65-28AF4411A9D2}"/>
      </w:docPartPr>
      <w:docPartBody>
        <w:p>
          <w:pPr>
            <w:pStyle w:val="5"/>
          </w:pPr>
          <w:r>
            <w:rPr>
              <w:rStyle w:val="4"/>
              <w:rFonts w:hint="eastAsia"/>
            </w:rPr>
            <w:t>单击或点击此处输入文字。</w:t>
          </w:r>
        </w:p>
      </w:docPartBody>
    </w:docPart>
    <w:docPart>
      <w:docPartPr>
        <w:name w:val="A062B073CBAC4E68812BD73339A0FA43"/>
        <w:style w:val=""/>
        <w:category>
          <w:name w:val="常规"/>
          <w:gallery w:val="placeholder"/>
        </w:category>
        <w:types>
          <w:type w:val="bbPlcHdr"/>
        </w:types>
        <w:behaviors>
          <w:behavior w:val="content"/>
        </w:behaviors>
        <w:description w:val=""/>
        <w:guid w:val="{29807462-2D32-4B09-ACEB-8867D4287722}"/>
      </w:docPartPr>
      <w:docPartBody>
        <w:p>
          <w:pPr>
            <w:pStyle w:val="6"/>
          </w:pPr>
          <w:r>
            <w:rPr>
              <w:rStyle w:val="4"/>
              <w:rFonts w:hint="eastAsia"/>
            </w:rPr>
            <w:t>选择一项。</w:t>
          </w:r>
        </w:p>
      </w:docPartBody>
    </w:docPart>
    <w:docPart>
      <w:docPartPr>
        <w:name w:val="A6A088EC6EF641EAB9610CE1CCB9E960"/>
        <w:style w:val=""/>
        <w:category>
          <w:name w:val="常规"/>
          <w:gallery w:val="placeholder"/>
        </w:category>
        <w:types>
          <w:type w:val="bbPlcHdr"/>
        </w:types>
        <w:behaviors>
          <w:behavior w:val="content"/>
        </w:behaviors>
        <w:description w:val=""/>
        <w:guid w:val="{13869467-6AC5-41AB-8629-C3C11FBBEA4F}"/>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SIP)">
    <w:panose1 w:val="03000509000000000000"/>
    <w:charset w:val="86"/>
    <w:family w:val="auto"/>
    <w:pitch w:val="default"/>
    <w:sig w:usb0="00000003" w:usb1="0A0E0800" w:usb2="00000006" w:usb3="00000000" w:csb0="00040001" w:csb1="00000000"/>
  </w:font>
  <w:font w:name="汉仪仿宋S">
    <w:panose1 w:val="00020600040101000101"/>
    <w:charset w:val="86"/>
    <w:family w:val="auto"/>
    <w:pitch w:val="default"/>
    <w:sig w:usb0="A00002BF" w:usb1="38CF7CFA" w:usb2="00000016"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C32"/>
    <w:rsid w:val="00032555"/>
    <w:rsid w:val="00054A9C"/>
    <w:rsid w:val="00074E76"/>
    <w:rsid w:val="000971FC"/>
    <w:rsid w:val="000B1802"/>
    <w:rsid w:val="000E1B50"/>
    <w:rsid w:val="000E31E1"/>
    <w:rsid w:val="0010645E"/>
    <w:rsid w:val="001168E4"/>
    <w:rsid w:val="00127951"/>
    <w:rsid w:val="001408C7"/>
    <w:rsid w:val="0015470A"/>
    <w:rsid w:val="00185A8A"/>
    <w:rsid w:val="001863C2"/>
    <w:rsid w:val="001B5C00"/>
    <w:rsid w:val="001D2430"/>
    <w:rsid w:val="001E6221"/>
    <w:rsid w:val="0025391D"/>
    <w:rsid w:val="002A6CA3"/>
    <w:rsid w:val="002C10AF"/>
    <w:rsid w:val="002D3676"/>
    <w:rsid w:val="002E0BD0"/>
    <w:rsid w:val="00311EDE"/>
    <w:rsid w:val="0034354E"/>
    <w:rsid w:val="003706CD"/>
    <w:rsid w:val="00371816"/>
    <w:rsid w:val="0037276B"/>
    <w:rsid w:val="00386BE4"/>
    <w:rsid w:val="003C36F9"/>
    <w:rsid w:val="003D5738"/>
    <w:rsid w:val="003D5E5D"/>
    <w:rsid w:val="003D7C75"/>
    <w:rsid w:val="003F7C7D"/>
    <w:rsid w:val="00422C32"/>
    <w:rsid w:val="00483D2D"/>
    <w:rsid w:val="004A2E0A"/>
    <w:rsid w:val="004B4043"/>
    <w:rsid w:val="004C16E1"/>
    <w:rsid w:val="004E23D1"/>
    <w:rsid w:val="00500A74"/>
    <w:rsid w:val="005115B2"/>
    <w:rsid w:val="00557485"/>
    <w:rsid w:val="0057494B"/>
    <w:rsid w:val="00590259"/>
    <w:rsid w:val="005D2BAD"/>
    <w:rsid w:val="005E31C3"/>
    <w:rsid w:val="006548A5"/>
    <w:rsid w:val="006913B8"/>
    <w:rsid w:val="006C6473"/>
    <w:rsid w:val="006D2353"/>
    <w:rsid w:val="006E450C"/>
    <w:rsid w:val="006F6910"/>
    <w:rsid w:val="00706D7B"/>
    <w:rsid w:val="00714898"/>
    <w:rsid w:val="00747E28"/>
    <w:rsid w:val="00753CA2"/>
    <w:rsid w:val="00766C8A"/>
    <w:rsid w:val="00770AFA"/>
    <w:rsid w:val="00795D0A"/>
    <w:rsid w:val="007C6D70"/>
    <w:rsid w:val="007E7269"/>
    <w:rsid w:val="00876C3C"/>
    <w:rsid w:val="008858DB"/>
    <w:rsid w:val="008B348C"/>
    <w:rsid w:val="009013A0"/>
    <w:rsid w:val="00945037"/>
    <w:rsid w:val="009665D8"/>
    <w:rsid w:val="009672AE"/>
    <w:rsid w:val="009A1C92"/>
    <w:rsid w:val="009A621F"/>
    <w:rsid w:val="009C4562"/>
    <w:rsid w:val="009D63FE"/>
    <w:rsid w:val="00A14EE5"/>
    <w:rsid w:val="00A1691F"/>
    <w:rsid w:val="00A26614"/>
    <w:rsid w:val="00A324AB"/>
    <w:rsid w:val="00A37E33"/>
    <w:rsid w:val="00A74864"/>
    <w:rsid w:val="00A92FC8"/>
    <w:rsid w:val="00B02F4F"/>
    <w:rsid w:val="00B24273"/>
    <w:rsid w:val="00B6113F"/>
    <w:rsid w:val="00B63C10"/>
    <w:rsid w:val="00B755E8"/>
    <w:rsid w:val="00B75FD4"/>
    <w:rsid w:val="00B9377F"/>
    <w:rsid w:val="00B94296"/>
    <w:rsid w:val="00BA2A53"/>
    <w:rsid w:val="00BB07DE"/>
    <w:rsid w:val="00BD03CD"/>
    <w:rsid w:val="00BD755B"/>
    <w:rsid w:val="00BD7DB1"/>
    <w:rsid w:val="00C06BF6"/>
    <w:rsid w:val="00C10340"/>
    <w:rsid w:val="00C20688"/>
    <w:rsid w:val="00C44EA2"/>
    <w:rsid w:val="00C45753"/>
    <w:rsid w:val="00C602BA"/>
    <w:rsid w:val="00C85DFD"/>
    <w:rsid w:val="00D005AB"/>
    <w:rsid w:val="00D009F6"/>
    <w:rsid w:val="00D22A9A"/>
    <w:rsid w:val="00D53062"/>
    <w:rsid w:val="00D56C4E"/>
    <w:rsid w:val="00D6108B"/>
    <w:rsid w:val="00D84745"/>
    <w:rsid w:val="00D92462"/>
    <w:rsid w:val="00DB02A0"/>
    <w:rsid w:val="00DC0019"/>
    <w:rsid w:val="00DD10FA"/>
    <w:rsid w:val="00E03094"/>
    <w:rsid w:val="00E10585"/>
    <w:rsid w:val="00E31506"/>
    <w:rsid w:val="00E31A70"/>
    <w:rsid w:val="00E64E0D"/>
    <w:rsid w:val="00E86F5B"/>
    <w:rsid w:val="00E91882"/>
    <w:rsid w:val="00EE62DE"/>
    <w:rsid w:val="00F25907"/>
    <w:rsid w:val="00F27E49"/>
    <w:rsid w:val="00F71FCB"/>
    <w:rsid w:val="00F74E41"/>
    <w:rsid w:val="00F863C6"/>
    <w:rsid w:val="00FA490D"/>
    <w:rsid w:val="00FB64E9"/>
    <w:rsid w:val="00FF06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9F5EF66112D40978DBD57B6750CCA1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062B073CBAC4E68812BD73339A0FA4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6A088EC6EF641EAB9610CE1CCB9E96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15</Pages>
  <Words>541</Words>
  <Characters>609</Characters>
  <Lines>73</Lines>
  <Paragraphs>20</Paragraphs>
  <TotalTime>108</TotalTime>
  <ScaleCrop>false</ScaleCrop>
  <LinksUpToDate>false</LinksUpToDate>
  <CharactersWithSpaces>739</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2024-06-17T16:36:00Z</dcterms:created>
  <dc:creator>Lenovo</dc:creator>
  <dc:description>&lt;config cover="true" show_menu="true" version="1.0.0" doctype="SDKXY"&gt;_x000d_
&lt;/config&gt;</dc:description>
  <cp:lastModifiedBy>sugou</cp:lastModifiedBy>
  <cp:lastPrinted>2024-09-24T18:35:00Z</cp:lastPrinted>
  <dcterms:modified xsi:type="dcterms:W3CDTF">2024-11-17T09:55:30Z</dcterms:modified>
  <dc:title>地方标准</dc:title>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2052-11.8.2.9793</vt:lpwstr>
  </property>
  <property fmtid="{D5CDD505-2E9C-101B-9397-08002B2CF9AE}" pid="16" name="ICV">
    <vt:lpwstr>068C98F60C2C43E28EBB981282AE5775_13</vt:lpwstr>
  </property>
</Properties>
</file>